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/>
          <w:b/>
          <w:bCs/>
          <w:sz w:val="24"/>
          <w:lang w:val="ru-RU"/>
        </w:rPr>
      </w:pPr>
      <w:r>
        <w:rPr>
          <w:rFonts w:ascii="Times New Roman" w:hAnsi="Times New Roman"/>
          <w:b/>
          <w:bCs/>
          <w:sz w:val="24"/>
          <w:lang w:val="ru-RU"/>
        </w:rPr>
        <w:t>Прагматическая адаптация при переводе комического в китайском художественном произведении</w:t>
      </w:r>
      <w:r>
        <w:rPr>
          <w:rFonts w:hint="default" w:ascii="Times New Roman" w:hAnsi="Times New Roman"/>
          <w:b/>
          <w:bCs/>
          <w:sz w:val="24"/>
          <w:lang w:val="ru-RU"/>
        </w:rPr>
        <w:t xml:space="preserve"> на русский язык</w:t>
      </w:r>
    </w:p>
    <w:p>
      <w:pPr>
        <w:jc w:val="center"/>
        <w:rPr>
          <w:rFonts w:ascii="Times New Roman" w:hAnsi="Times New Roman"/>
          <w:b/>
          <w:bCs/>
          <w:i/>
          <w:iCs/>
          <w:sz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lang w:val="ru-RU"/>
        </w:rPr>
        <w:t>Дуань Сяоли</w:t>
      </w:r>
    </w:p>
    <w:p>
      <w:pPr>
        <w:jc w:val="center"/>
        <w:rPr>
          <w:rFonts w:hint="eastAsia" w:ascii="Times New Roman" w:hAnsi="Times New Roman"/>
          <w:i/>
          <w:iCs/>
          <w:sz w:val="24"/>
          <w:lang w:val="ru-RU"/>
        </w:rPr>
      </w:pPr>
      <w:r>
        <w:rPr>
          <w:rFonts w:ascii="Times New Roman" w:hAnsi="Times New Roman"/>
          <w:i/>
          <w:iCs/>
          <w:sz w:val="24"/>
          <w:lang w:val="ru-RU"/>
        </w:rPr>
        <w:t>Аспирант</w:t>
      </w:r>
      <w:r>
        <w:rPr>
          <w:rFonts w:hint="eastAsia" w:ascii="Times New Roman" w:hAnsi="Times New Roman"/>
          <w:i/>
          <w:iCs/>
          <w:sz w:val="24"/>
          <w:lang w:val="ru-RU"/>
        </w:rPr>
        <w:t xml:space="preserve"> </w:t>
      </w:r>
    </w:p>
    <w:p>
      <w:pPr>
        <w:jc w:val="center"/>
        <w:rPr>
          <w:rFonts w:ascii="Times New Roman" w:hAnsi="Times New Roman"/>
          <w:i/>
          <w:iCs/>
          <w:sz w:val="24"/>
          <w:lang w:val="ru-RU"/>
        </w:rPr>
      </w:pPr>
      <w:r>
        <w:rPr>
          <w:rFonts w:ascii="Times New Roman" w:hAnsi="Times New Roman"/>
          <w:i/>
          <w:iCs/>
          <w:sz w:val="24"/>
          <w:lang w:val="ru-RU"/>
        </w:rPr>
        <w:t xml:space="preserve">Московский государственный университет имени М.В. Ломоносова, </w:t>
      </w:r>
      <w:r>
        <w:rPr>
          <w:rFonts w:hint="default" w:ascii="Times New Roman" w:hAnsi="Times New Roman"/>
          <w:i/>
          <w:iCs/>
          <w:sz w:val="24"/>
          <w:lang w:val="ru-RU"/>
        </w:rPr>
        <w:t>В</w:t>
      </w:r>
      <w:r>
        <w:rPr>
          <w:rFonts w:ascii="Times New Roman" w:hAnsi="Times New Roman"/>
          <w:i/>
          <w:iCs/>
          <w:sz w:val="24"/>
          <w:lang w:val="ru-RU"/>
        </w:rPr>
        <w:t xml:space="preserve">ысшая школа перевода (факультет), Москва, Россия </w:t>
      </w:r>
    </w:p>
    <w:p>
      <w:pPr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/>
          <w:i/>
          <w:iCs/>
          <w:sz w:val="24"/>
          <w:lang w:val="de-DE"/>
        </w:rPr>
        <w:t>E</w:t>
      </w:r>
      <w:r>
        <w:rPr>
          <w:rFonts w:ascii="Times New Roman" w:hAnsi="Times New Roman"/>
          <w:i/>
          <w:iCs/>
          <w:sz w:val="24"/>
          <w:lang w:val="ru-RU"/>
        </w:rPr>
        <w:t>-</w:t>
      </w:r>
      <w:r>
        <w:rPr>
          <w:rFonts w:ascii="Times New Roman" w:hAnsi="Times New Roman"/>
          <w:i/>
          <w:iCs/>
          <w:sz w:val="24"/>
          <w:lang w:val="de-DE"/>
        </w:rPr>
        <w:t>mail</w:t>
      </w:r>
      <w:r>
        <w:rPr>
          <w:rFonts w:ascii="Times New Roman" w:hAnsi="Times New Roman"/>
          <w:i/>
          <w:iCs/>
          <w:sz w:val="24"/>
          <w:lang w:val="ru-RU"/>
        </w:rPr>
        <w:t xml:space="preserve">: </w:t>
      </w:r>
      <w:r>
        <w:fldChar w:fldCharType="begin"/>
      </w:r>
      <w:r>
        <w:instrText xml:space="preserve"> HYPERLINK "mailto:1490138618@qq.com" </w:instrText>
      </w:r>
      <w:r>
        <w:fldChar w:fldCharType="separate"/>
      </w:r>
      <w:r>
        <w:rPr>
          <w:rStyle w:val="4"/>
          <w:rFonts w:ascii="Times New Roman" w:hAnsi="Times New Roman"/>
          <w:i/>
          <w:iCs/>
          <w:sz w:val="24"/>
          <w:lang w:val="ru-RU"/>
        </w:rPr>
        <w:t>1490138618@</w:t>
      </w:r>
      <w:r>
        <w:rPr>
          <w:rStyle w:val="4"/>
          <w:rFonts w:hint="eastAsia" w:ascii="Times New Roman" w:hAnsi="Times New Roman"/>
          <w:i/>
          <w:iCs/>
          <w:sz w:val="24"/>
          <w:lang w:val="de-DE"/>
        </w:rPr>
        <w:t>q</w:t>
      </w:r>
      <w:r>
        <w:rPr>
          <w:rStyle w:val="4"/>
          <w:rFonts w:ascii="Times New Roman" w:hAnsi="Times New Roman"/>
          <w:i/>
          <w:iCs/>
          <w:sz w:val="24"/>
          <w:lang w:val="de-DE"/>
        </w:rPr>
        <w:t>q</w:t>
      </w:r>
      <w:r>
        <w:rPr>
          <w:rStyle w:val="4"/>
          <w:rFonts w:ascii="Times New Roman" w:hAnsi="Times New Roman"/>
          <w:i/>
          <w:iCs/>
          <w:sz w:val="24"/>
          <w:lang w:val="ru-RU"/>
        </w:rPr>
        <w:t>.</w:t>
      </w:r>
      <w:r>
        <w:rPr>
          <w:rStyle w:val="4"/>
          <w:rFonts w:ascii="Times New Roman" w:hAnsi="Times New Roman"/>
          <w:i/>
          <w:iCs/>
          <w:sz w:val="24"/>
          <w:lang w:val="de-DE"/>
        </w:rPr>
        <w:t>com</w:t>
      </w:r>
      <w:r>
        <w:rPr>
          <w:rStyle w:val="4"/>
          <w:rFonts w:ascii="Times New Roman" w:hAnsi="Times New Roman"/>
          <w:i/>
          <w:iCs/>
          <w:sz w:val="24"/>
          <w:lang w:val="de-DE"/>
        </w:rPr>
        <w:fldChar w:fldCharType="end"/>
      </w:r>
    </w:p>
    <w:p>
      <w:pPr>
        <w:ind w:firstLine="709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>Целью исследования является рассмотрение способов прагматической адаптации при переводе комического в юмористических текстах. Материалом исследования послужил русский перевод романа Цянь Чжуншу «Осаждённая крепость». Текст романа насыщен реалиями, описаниями явлений китайской культуры, что делает его перевод интересным объектом исследования.</w:t>
      </w:r>
    </w:p>
    <w:p>
      <w:pPr>
        <w:ind w:firstLine="709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Перевод комического – один из сложных вопросов в художественном переводе. Это связано с тем, что автор оригинала часто использует выражения, несущие в себе национальные особенности для выражения комического эффекта. В большинстве случаев переводчик сталкивается с проблемой передачи национально-культурной окраски текста.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 xml:space="preserve">Неполные или частично совпадающие типы концептов могут присутствовать в различных традициях в силу культурных особенностей, и это может быть влияющим фактором на степень воспринимаемого комического эффекта оригинального текста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>[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>Миронова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>, 2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013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: 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77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>]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>Для того чтобы добиться сохранения целостной системы смыслов и равноценного коммуникативного эффекта, адаптация может быть жизненно необходима [Гарбовский, 2007: 403-406].</w:t>
      </w:r>
    </w:p>
    <w:p>
      <w:pPr>
        <w:ind w:firstLine="709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>В нашем исследовании адаптацию мы понимаем «как обозначение способа достижения равенства коммуникативного эффекта в тексте оригинала (ИТ) и тексте перевода (ПТ)» [Комис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>с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>аров, 1990: 125]. В русском переводе китайского юмористического произведения коммуникативный эффект достигается при восприяти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>и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 комического эффекта оригинального текста.</w:t>
      </w:r>
    </w:p>
    <w:p>
      <w:pPr>
        <w:ind w:firstLine="709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Мы обнаружили, что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>д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>ля достижения соответствующего комического эффекта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>в оригинале существует множество отрывков, в которых используются выражения, в том числе слова, словосочетания или фразы с культурным значением, характерным для Китая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Эти выражения можно разделить на следующие категории: 1. слова, связанные с религиозной культурой Китая. Например: 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4"/>
          <w:szCs w:val="24"/>
          <w:highlight w:val="none"/>
        </w:rPr>
        <w:t>1).观世音– Гуаньшининь в белом одеянии. Комментарии в переводе: Гуаньшининь – в народной версии буддизм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4"/>
          <w:szCs w:val="24"/>
          <w:highlight w:val="none"/>
          <w:lang w:val="ru-RU"/>
        </w:rPr>
        <w:t>а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4"/>
          <w:szCs w:val="24"/>
          <w:highlight w:val="none"/>
        </w:rPr>
        <w:t xml:space="preserve"> богиня милосердия (бодисатва);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4"/>
          <w:szCs w:val="24"/>
          <w:highlight w:val="none"/>
        </w:rPr>
        <w:t>2). 菩萨 –  Будда; 3). 和尚施食 – вслух с интонацией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4"/>
          <w:szCs w:val="24"/>
          <w:highlight w:val="none"/>
        </w:rPr>
        <w:t xml:space="preserve"> просящего милостыню монаха; 4).猫儿念经 –  смешно шевеля губами и т.д.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4"/>
          <w:szCs w:val="24"/>
          <w:highlight w:val="none"/>
          <w:lang w:val="ru-RU"/>
        </w:rPr>
        <w:t>,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>2. социальные и материальные предметы, имеющие культурное значение. Например: 5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4"/>
          <w:szCs w:val="24"/>
          <w:highlight w:val="none"/>
        </w:rPr>
        <w:t xml:space="preserve">). 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4"/>
          <w:szCs w:val="24"/>
          <w:highlight w:val="none"/>
          <w:lang w:val="en-US"/>
        </w:rPr>
        <w:t>麻将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4"/>
          <w:szCs w:val="24"/>
          <w:highlight w:val="none"/>
        </w:rPr>
        <w:t xml:space="preserve"> – Мацзян; 6). 水彩画 – незаконченный акварельный рисунок и т.д.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>3. слова, связанные с 24 китайски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>ми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>х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>сезон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>ами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 года. Например: 7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4"/>
          <w:szCs w:val="24"/>
          <w:highlight w:val="none"/>
        </w:rPr>
        <w:t>). 黄道吉日 – счастливый «жёлтый» день; 8) 秋老虎 –  с самого утра стояла жара; 9).黄梅时节– лица дам напоминали теперь стены домов в сезон дождей и т.д.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4"/>
          <w:szCs w:val="24"/>
          <w:highlight w:val="none"/>
          <w:lang w:val="ru-RU"/>
        </w:rPr>
        <w:t>,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>4. использование языковой культуры (в основном устойчивых выражений или идиом). Например: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4"/>
          <w:szCs w:val="24"/>
          <w:highlight w:val="none"/>
        </w:rPr>
        <w:t xml:space="preserve"> 10). 艳如桃李，冷若冰霜 – Красива, как персик и слива, как иней и лед, холодна; 11). 雪中送炭 – как на топливо во время снегопада; 12). 一毛不拔 – значительно укоротил их (усы) и т.д. </w:t>
      </w:r>
    </w:p>
    <w:p>
      <w:pPr>
        <w:ind w:firstLine="709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>П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>ринимая во внимание различия в культурном фоне, переводчик в основном использует следующие методы прагматической адаптации: транскрипция + примечание, пример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>ы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 1 и 5. Для персонажей китайского буддизма переводчик использует метод транскрипция + примечание, чтобы помочь читателям лучше понять культурную реалию в оригинальном тексте, чтобы лучше ощутить комический эффект оригинального текста.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>Применяется т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>акже буквальный перевод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 xml:space="preserve">, это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примеры 3, 7, 10, 11. При дословном переводе восстанавливается первоначальный смысл текста, но при этом отсутствует скрытый смысл, который пытается передать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 xml:space="preserve">автор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>оригинальн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>ого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 текст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>а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>. У читателя снижается уровень восприятия комического эффекта оригинального текста. Вольный перевод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 xml:space="preserve"> использован в 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>пример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>ах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 6, 8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>,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 и 9. Этот метод перевода передает коннотативное значение культурного выражения в более приемлемом варианте в перевод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>е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, помогая читателю более точно понять комический эффект оригинального текста. Что касается выражений, не существующих в переводной культуре, переводчик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>решил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 опустить их с целью обеспечения передач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>и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 общего коммуникативного эффекта оригинального текста, как, например, в примерах 4 и 12, которые неизбежно утра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 xml:space="preserve">чивают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>комический эффект оригина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>ла.</w:t>
      </w:r>
    </w:p>
    <w:p>
      <w:pPr>
        <w:ind w:firstLine="709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pPr>
    </w:p>
    <w:p>
      <w:pPr>
        <w:ind w:firstLine="709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 w:eastAsia="zh-CN"/>
        </w:rPr>
        <w:t xml:space="preserve"> Литература</w:t>
      </w:r>
    </w:p>
    <w:p>
      <w:pP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 w:eastAsia="zh-CN"/>
        </w:rPr>
      </w:pP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 w:eastAsia="zh-CN"/>
        </w:rPr>
        <w:t>Гарбовский Н. К. Теория перевода.: учебник. М.: Изд-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 w:eastAsia="zh-CN"/>
        </w:rPr>
        <w:softHyphen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 w:eastAsia="zh-CN"/>
        </w:rPr>
        <w:t>во Моск. ун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 w:eastAsia="zh-CN"/>
        </w:rPr>
        <w:softHyphen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 w:eastAsia="zh-CN"/>
        </w:rPr>
        <w:t xml:space="preserve">т-а. 2004. 544 с. 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 w:eastAsia="zh-CN"/>
        </w:rPr>
        <w:t>Комиссаров В. Н. Теория перевода (лингвистические аспекты): Учеб. для ин-тов и фак. иностр. яз. М.: Высш. шк.. 1990. 253 с. 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 w:eastAsia="zh-CN"/>
        </w:rPr>
        <w:t xml:space="preserve">Миронова Н. Н. Когнитивные аспекты перевода художественной литературы //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 w:eastAsia="zh-CN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 w:eastAsia="zh-CN"/>
        </w:rPr>
        <w:instrText xml:space="preserve"> HYPERLINK "https://cyberleninka.ru/journal/n/vestnik-moskovskogo-universiteta-seriya-22-teoriya-perevoda" </w:instrTex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 w:eastAsia="zh-CN"/>
        </w:rPr>
        <w:fldChar w:fldCharType="separate"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 w:eastAsia="zh-CN"/>
        </w:rPr>
        <w:t>Вестник Московского университета. Серия 22. Теория перевода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 w:eastAsia="zh-CN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 w:eastAsia="zh-CN"/>
        </w:rPr>
        <w:t xml:space="preserve">. М.: 2013. С. 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77-83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 w:eastAsia="zh-CN"/>
        </w:rPr>
        <w:t>.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 w:eastAsia="zh-CN"/>
        </w:rPr>
        <w:t>Цянь Чжуншу. Осажденная крепость / пер. с кит. В.Ф. Сорокин. М.:1989. 370 c.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 w:eastAsia="zh-CN"/>
        </w:rPr>
        <w:t xml:space="preserve">钱钟书 围城 [M] 北京., 2017. 328页 Цянь Чжуншу. Осаждённая крепость. Пекин.: 2017. 337 c. </w:t>
      </w:r>
    </w:p>
    <w:p>
      <w:pPr>
        <w:ind w:firstLine="709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</w:p>
    <w:p/>
    <w:sectPr>
      <w:pgSz w:w="11906" w:h="16838"/>
      <w:pgMar w:top="1134" w:right="850" w:bottom="1134" w:left="1701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830BC1"/>
    <w:multiLevelType w:val="singleLevel"/>
    <w:tmpl w:val="3C830BC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08"/>
  <w:hyphenationZone w:val="360"/>
  <w:displayHorizontalDrawingGridEvery w:val="1"/>
  <w:displayVerticalDrawingGridEvery w:val="1"/>
  <w:characterSpacingControl w:val="doNotCompress"/>
  <w:compat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2VkNGViNTFjMmI0ZGIxYTQwYzhkZDhhZWIxZjgifQ=="/>
    <w:docVar w:name="KSO_WPS_MARK_KEY" w:val="d388c00f-9fd8-45df-88bf-3392e25e26c6"/>
  </w:docVars>
  <w:rsids>
    <w:rsidRoot w:val="00EC764C"/>
    <w:rsid w:val="0001341F"/>
    <w:rsid w:val="00077D54"/>
    <w:rsid w:val="00370526"/>
    <w:rsid w:val="003B3C2E"/>
    <w:rsid w:val="004621E4"/>
    <w:rsid w:val="006A1F39"/>
    <w:rsid w:val="007B34CE"/>
    <w:rsid w:val="00A95D3D"/>
    <w:rsid w:val="00AD1637"/>
    <w:rsid w:val="00C107BB"/>
    <w:rsid w:val="00D6104E"/>
    <w:rsid w:val="00EC764C"/>
    <w:rsid w:val="00F161BB"/>
    <w:rsid w:val="022916B5"/>
    <w:rsid w:val="0C1B789F"/>
    <w:rsid w:val="0F9C0B49"/>
    <w:rsid w:val="0F9C62AB"/>
    <w:rsid w:val="167B43F1"/>
    <w:rsid w:val="4A491C29"/>
    <w:rsid w:val="4E661958"/>
    <w:rsid w:val="52D38CE2"/>
    <w:rsid w:val="55E815E6"/>
    <w:rsid w:val="69DB48B3"/>
    <w:rsid w:val="6A78462A"/>
    <w:rsid w:val="727311B9"/>
    <w:rsid w:val="7A2C6084"/>
    <w:rsid w:val="7C4A0E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563C1"/>
      <w:u w:val="single"/>
    </w:rPr>
  </w:style>
  <w:style w:type="paragraph" w:styleId="5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720</Words>
  <Characters>4706</Characters>
  <Lines>39</Lines>
  <Paragraphs>11</Paragraphs>
  <TotalTime>21</TotalTime>
  <ScaleCrop>false</ScaleCrop>
  <LinksUpToDate>false</LinksUpToDate>
  <CharactersWithSpaces>5422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2023-02-08T23:29:00Z</dcterms:created>
  <dc:creator>Asus</dc:creator>
  <cp:lastModifiedBy>Елена Мешкова</cp:lastModifiedBy>
  <dcterms:modified xsi:type="dcterms:W3CDTF">2024-05-04T21:42:56Z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78722BA76E7C4C87BC9C20223632CCAB_13</vt:lpwstr>
  </property>
</Properties>
</file>