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020DA" w14:textId="40800922" w:rsidR="0006469E" w:rsidRDefault="00772B28" w:rsidP="00A265F0">
      <w:pPr>
        <w:pBdr>
          <w:top w:val="none" w:sz="4" w:space="0" w:color="000000"/>
          <w:left w:val="none" w:sz="4" w:space="0" w:color="000000"/>
          <w:bottom w:val="none" w:sz="4" w:space="0" w:color="000000"/>
          <w:right w:val="none" w:sz="4" w:space="0" w:color="000000"/>
        </w:pBdr>
        <w:shd w:val="clear" w:color="FFFFFF" w:fill="FFFFFF"/>
        <w:jc w:val="center"/>
        <w:rPr>
          <w:b/>
          <w:color w:val="000000"/>
        </w:rPr>
      </w:pPr>
      <w:r>
        <w:rPr>
          <w:b/>
          <w:color w:val="000000"/>
        </w:rPr>
        <w:t xml:space="preserve">Микробиологическая активность почвы при </w:t>
      </w:r>
      <w:r w:rsidR="0006469E">
        <w:rPr>
          <w:b/>
          <w:color w:val="000000"/>
        </w:rPr>
        <w:t>полиметаллическом загрязнении до и после обработки полимерными препаратами</w:t>
      </w:r>
      <w:r w:rsidR="00D05F26">
        <w:rPr>
          <w:b/>
          <w:color w:val="000000"/>
        </w:rPr>
        <w:t xml:space="preserve"> </w:t>
      </w:r>
    </w:p>
    <w:p w14:paraId="4F36FC57" w14:textId="18D8F9A7" w:rsidR="00DF7741" w:rsidRPr="009E04A9" w:rsidRDefault="00772B28" w:rsidP="00A265F0">
      <w:pPr>
        <w:pBdr>
          <w:top w:val="none" w:sz="4" w:space="0" w:color="000000"/>
          <w:left w:val="none" w:sz="4" w:space="0" w:color="000000"/>
          <w:bottom w:val="none" w:sz="4" w:space="0" w:color="000000"/>
          <w:right w:val="none" w:sz="4" w:space="0" w:color="000000"/>
        </w:pBdr>
        <w:shd w:val="clear" w:color="FFFFFF" w:fill="FFFFFF"/>
        <w:jc w:val="center"/>
        <w:rPr>
          <w:sz w:val="20"/>
          <w:szCs w:val="20"/>
        </w:rPr>
      </w:pPr>
      <w:r>
        <w:rPr>
          <w:b/>
          <w:color w:val="000000"/>
        </w:rPr>
        <w:t xml:space="preserve"> </w:t>
      </w:r>
    </w:p>
    <w:p w14:paraId="0B7B875A" w14:textId="07383100" w:rsidR="00DF7741" w:rsidRPr="00CD7296" w:rsidRDefault="00697687" w:rsidP="00A265F0">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rPr>
      </w:pPr>
      <w:r>
        <w:rPr>
          <w:b/>
          <w:i/>
          <w:color w:val="000000"/>
        </w:rPr>
        <w:t>Сергеева Ю.Д</w:t>
      </w:r>
      <w:r w:rsidRPr="00645683">
        <w:rPr>
          <w:bCs/>
          <w:i/>
          <w:color w:val="000000"/>
        </w:rPr>
        <w:t>.</w:t>
      </w:r>
      <w:r w:rsidR="001C3E7C">
        <w:rPr>
          <w:b/>
          <w:i/>
          <w:color w:val="000000"/>
        </w:rPr>
        <w:t xml:space="preserve">, Волкова </w:t>
      </w:r>
      <w:r w:rsidR="001C3E7C" w:rsidRPr="00CD7296">
        <w:rPr>
          <w:b/>
          <w:i/>
          <w:color w:val="000000" w:themeColor="text1"/>
        </w:rPr>
        <w:t>В.Д., Деревенец Е.Н.</w:t>
      </w:r>
      <w:r w:rsidR="005B4BF6" w:rsidRPr="005B4BF6">
        <w:rPr>
          <w:bCs/>
          <w:i/>
          <w:color w:val="000000"/>
          <w:vertAlign w:val="superscript"/>
        </w:rPr>
        <w:t xml:space="preserve"> </w:t>
      </w:r>
    </w:p>
    <w:p w14:paraId="1D0430D5" w14:textId="3FAAD09B" w:rsidR="00DF7741" w:rsidRPr="00CD7296" w:rsidRDefault="006038E7" w:rsidP="00A265F0">
      <w:pPr>
        <w:pBdr>
          <w:top w:val="none" w:sz="4" w:space="0" w:color="000000"/>
          <w:left w:val="none" w:sz="4" w:space="0" w:color="000000"/>
          <w:bottom w:val="none" w:sz="4" w:space="0" w:color="000000"/>
          <w:right w:val="none" w:sz="4" w:space="0" w:color="000000"/>
        </w:pBdr>
        <w:shd w:val="clear" w:color="FFFFFF" w:fill="FFFFFF"/>
        <w:jc w:val="center"/>
        <w:rPr>
          <w:color w:val="000000" w:themeColor="text1"/>
        </w:rPr>
      </w:pPr>
      <w:r w:rsidRPr="00CD7296">
        <w:rPr>
          <w:i/>
          <w:color w:val="000000" w:themeColor="text1"/>
        </w:rPr>
        <w:t xml:space="preserve">Студент, </w:t>
      </w:r>
      <w:r w:rsidR="00697687" w:rsidRPr="00CD7296">
        <w:rPr>
          <w:i/>
          <w:color w:val="000000" w:themeColor="text1"/>
        </w:rPr>
        <w:t>1</w:t>
      </w:r>
      <w:r w:rsidRPr="00CD7296">
        <w:rPr>
          <w:i/>
          <w:color w:val="000000" w:themeColor="text1"/>
        </w:rPr>
        <w:t xml:space="preserve"> курс </w:t>
      </w:r>
      <w:r w:rsidR="00697687" w:rsidRPr="00CD7296">
        <w:rPr>
          <w:i/>
          <w:color w:val="000000" w:themeColor="text1"/>
        </w:rPr>
        <w:t>магистратуры</w:t>
      </w:r>
      <w:r w:rsidRPr="00CD7296">
        <w:rPr>
          <w:i/>
          <w:color w:val="000000" w:themeColor="text1"/>
        </w:rPr>
        <w:t xml:space="preserve"> </w:t>
      </w:r>
    </w:p>
    <w:p w14:paraId="44D22A81" w14:textId="0CB4BD4F" w:rsidR="00DF7741" w:rsidRDefault="006038E7" w:rsidP="00A265F0">
      <w:pPr>
        <w:pBdr>
          <w:top w:val="none" w:sz="4" w:space="0" w:color="000000"/>
          <w:left w:val="none" w:sz="4" w:space="0" w:color="000000"/>
          <w:bottom w:val="none" w:sz="4" w:space="0" w:color="000000"/>
          <w:right w:val="none" w:sz="4" w:space="0" w:color="000000"/>
        </w:pBdr>
        <w:shd w:val="clear" w:color="FFFFFF" w:fill="FFFFFF"/>
        <w:jc w:val="center"/>
      </w:pPr>
      <w:r>
        <w:rPr>
          <w:i/>
          <w:color w:val="000000"/>
        </w:rPr>
        <w:t>Московский государственный университет имени М.В. Ломоносова, </w:t>
      </w:r>
    </w:p>
    <w:p w14:paraId="0D6338B4" w14:textId="3BA417EE" w:rsidR="00DF7741" w:rsidRPr="009E04A9" w:rsidRDefault="006038E7" w:rsidP="00A265F0">
      <w:pPr>
        <w:pBdr>
          <w:top w:val="none" w:sz="4" w:space="0" w:color="000000"/>
          <w:left w:val="none" w:sz="4" w:space="0" w:color="000000"/>
          <w:bottom w:val="none" w:sz="4" w:space="0" w:color="000000"/>
          <w:right w:val="none" w:sz="4" w:space="0" w:color="000000"/>
        </w:pBdr>
        <w:shd w:val="clear" w:color="FFFFFF" w:fill="FFFFFF"/>
        <w:jc w:val="center"/>
        <w:rPr>
          <w:sz w:val="16"/>
          <w:szCs w:val="16"/>
        </w:rPr>
      </w:pPr>
      <w:r>
        <w:rPr>
          <w:i/>
          <w:color w:val="000000"/>
        </w:rPr>
        <w:t>Факультет почвоведения, Москва, Россия</w:t>
      </w:r>
      <w:r>
        <w:rPr>
          <w:i/>
          <w:color w:val="000000"/>
        </w:rPr>
        <w:br/>
      </w:r>
    </w:p>
    <w:p w14:paraId="3282FBA7" w14:textId="1711B396" w:rsidR="00DF7741" w:rsidRPr="00697687" w:rsidRDefault="006038E7" w:rsidP="00A265F0">
      <w:pPr>
        <w:pBdr>
          <w:top w:val="none" w:sz="4" w:space="0" w:color="000000"/>
          <w:left w:val="none" w:sz="4" w:space="0" w:color="000000"/>
          <w:bottom w:val="none" w:sz="4" w:space="0" w:color="000000"/>
          <w:right w:val="none" w:sz="4" w:space="0" w:color="000000"/>
        </w:pBdr>
        <w:shd w:val="clear" w:color="FFFFFF" w:fill="FFFFFF"/>
        <w:jc w:val="center"/>
        <w:rPr>
          <w:i/>
        </w:rPr>
      </w:pPr>
      <w:r w:rsidRPr="00697687">
        <w:rPr>
          <w:i/>
          <w:color w:val="000000"/>
          <w:lang w:val="en-US"/>
        </w:rPr>
        <w:t>E</w:t>
      </w:r>
      <w:r w:rsidRPr="00697687">
        <w:rPr>
          <w:i/>
          <w:color w:val="000000"/>
        </w:rPr>
        <w:t>-</w:t>
      </w:r>
      <w:r w:rsidRPr="00697687">
        <w:rPr>
          <w:i/>
          <w:color w:val="000000"/>
          <w:lang w:val="en-US"/>
        </w:rPr>
        <w:t>mail</w:t>
      </w:r>
      <w:r w:rsidRPr="00697687">
        <w:rPr>
          <w:i/>
          <w:color w:val="000000"/>
        </w:rPr>
        <w:t xml:space="preserve">: </w:t>
      </w:r>
      <w:r w:rsidR="00697687">
        <w:rPr>
          <w:rStyle w:val="af"/>
          <w:i/>
          <w:color w:val="000000"/>
          <w:lang w:val="en-US"/>
        </w:rPr>
        <w:t>sergeeva</w:t>
      </w:r>
      <w:r w:rsidR="00697687" w:rsidRPr="00697687">
        <w:rPr>
          <w:rStyle w:val="af"/>
          <w:i/>
          <w:color w:val="000000"/>
        </w:rPr>
        <w:t>.</w:t>
      </w:r>
      <w:r w:rsidR="00697687">
        <w:rPr>
          <w:rStyle w:val="af"/>
          <w:i/>
          <w:color w:val="000000"/>
          <w:lang w:val="en-US"/>
        </w:rPr>
        <w:t>yulia</w:t>
      </w:r>
      <w:r w:rsidR="00697687" w:rsidRPr="00697687">
        <w:rPr>
          <w:rStyle w:val="af"/>
          <w:i/>
          <w:color w:val="000000"/>
        </w:rPr>
        <w:t>.</w:t>
      </w:r>
      <w:r w:rsidR="00697687">
        <w:rPr>
          <w:rStyle w:val="af"/>
          <w:i/>
          <w:color w:val="000000"/>
          <w:lang w:val="en-US"/>
        </w:rPr>
        <w:t>dm</w:t>
      </w:r>
      <w:r w:rsidR="00697687" w:rsidRPr="00697687">
        <w:rPr>
          <w:rStyle w:val="af"/>
          <w:i/>
          <w:color w:val="000000"/>
        </w:rPr>
        <w:t>@</w:t>
      </w:r>
      <w:r w:rsidR="00697687">
        <w:rPr>
          <w:rStyle w:val="af"/>
          <w:i/>
          <w:color w:val="000000"/>
          <w:lang w:val="en-US"/>
        </w:rPr>
        <w:t>gmail</w:t>
      </w:r>
      <w:r w:rsidR="00697687" w:rsidRPr="00697687">
        <w:rPr>
          <w:rStyle w:val="af"/>
          <w:i/>
          <w:color w:val="000000"/>
        </w:rPr>
        <w:t>.</w:t>
      </w:r>
      <w:r w:rsidR="00697687">
        <w:rPr>
          <w:rStyle w:val="af"/>
          <w:i/>
          <w:color w:val="000000"/>
          <w:lang w:val="en-US"/>
        </w:rPr>
        <w:t>com</w:t>
      </w:r>
      <w:r w:rsidRPr="00697687">
        <w:rPr>
          <w:i/>
          <w:color w:val="000000"/>
        </w:rPr>
        <w:t xml:space="preserve"> </w:t>
      </w:r>
    </w:p>
    <w:p w14:paraId="603F243A" w14:textId="69832929" w:rsidR="00697687" w:rsidRPr="00CD7296" w:rsidRDefault="00AA48D2" w:rsidP="00A265F0">
      <w:pPr>
        <w:pBdr>
          <w:top w:val="none" w:sz="4" w:space="0" w:color="000000"/>
          <w:left w:val="none" w:sz="4" w:space="0" w:color="000000"/>
          <w:bottom w:val="none" w:sz="4" w:space="0" w:color="000000"/>
          <w:right w:val="none" w:sz="4" w:space="0" w:color="000000"/>
        </w:pBdr>
        <w:shd w:val="clear" w:color="FFFFFF" w:fill="FFFFFF"/>
        <w:ind w:firstLine="397"/>
        <w:jc w:val="both"/>
        <w:rPr>
          <w:position w:val="-4"/>
        </w:rPr>
      </w:pPr>
      <w:r w:rsidRPr="00CD7296">
        <w:rPr>
          <w:position w:val="-4"/>
        </w:rPr>
        <w:t xml:space="preserve">Структурные и функциональные характеристики микробиома используются </w:t>
      </w:r>
      <w:r w:rsidR="00697687" w:rsidRPr="00CD7296">
        <w:rPr>
          <w:position w:val="-4"/>
        </w:rPr>
        <w:t>как индикатор</w:t>
      </w:r>
      <w:r w:rsidRPr="00CD7296">
        <w:rPr>
          <w:position w:val="-4"/>
        </w:rPr>
        <w:t>ы</w:t>
      </w:r>
      <w:r w:rsidR="00697687" w:rsidRPr="00CD7296">
        <w:rPr>
          <w:position w:val="-4"/>
        </w:rPr>
        <w:t xml:space="preserve"> </w:t>
      </w:r>
      <w:r w:rsidRPr="00CD7296">
        <w:rPr>
          <w:position w:val="-4"/>
        </w:rPr>
        <w:t xml:space="preserve">экологического </w:t>
      </w:r>
      <w:r w:rsidR="00B9191B" w:rsidRPr="00CD7296">
        <w:rPr>
          <w:position w:val="-4"/>
        </w:rPr>
        <w:t>состояния почвенных ценозов и эффективности разных способов восстановления здоровья почвы</w:t>
      </w:r>
      <w:r w:rsidR="00CB06DD">
        <w:rPr>
          <w:position w:val="-4"/>
        </w:rPr>
        <w:t>.</w:t>
      </w:r>
      <w:r w:rsidR="00283BC1" w:rsidRPr="00CD7296">
        <w:rPr>
          <w:position w:val="-4"/>
        </w:rPr>
        <w:t xml:space="preserve"> </w:t>
      </w:r>
    </w:p>
    <w:p w14:paraId="78431B6D" w14:textId="78333F0D" w:rsidR="003B61B1" w:rsidRDefault="00697687" w:rsidP="00A265F0">
      <w:pPr>
        <w:pStyle w:val="afb"/>
        <w:spacing w:before="0" w:beforeAutospacing="0" w:after="0" w:afterAutospacing="0"/>
        <w:rPr>
          <w:position w:val="-4"/>
        </w:rPr>
      </w:pPr>
      <w:r w:rsidRPr="00CD7296">
        <w:rPr>
          <w:position w:val="-4"/>
        </w:rPr>
        <w:t xml:space="preserve">В условиях модельного эксперимента </w:t>
      </w:r>
      <w:r w:rsidR="003B61B1">
        <w:rPr>
          <w:position w:val="-4"/>
        </w:rPr>
        <w:t xml:space="preserve">исследовали ремедиационную активность новых видов ремедиантов, представленных полимерными материалами, </w:t>
      </w:r>
      <w:r w:rsidR="003B61B1">
        <w:rPr>
          <w:position w:val="-4"/>
        </w:rPr>
        <w:t>в почве</w:t>
      </w:r>
      <w:r w:rsidR="003B61B1">
        <w:rPr>
          <w:position w:val="-4"/>
        </w:rPr>
        <w:t xml:space="preserve"> при полиметаллическом загрязнении.</w:t>
      </w:r>
    </w:p>
    <w:p w14:paraId="6FE3F087" w14:textId="01D7EDCA" w:rsidR="00772B28" w:rsidRPr="00073C7D" w:rsidRDefault="003B61B1" w:rsidP="00A265F0">
      <w:pPr>
        <w:pStyle w:val="afb"/>
        <w:spacing w:before="0" w:beforeAutospacing="0" w:after="0" w:afterAutospacing="0"/>
        <w:rPr>
          <w:i/>
          <w:iCs/>
          <w:position w:val="-4"/>
        </w:rPr>
      </w:pPr>
      <w:r>
        <w:rPr>
          <w:position w:val="-4"/>
        </w:rPr>
        <w:t>М</w:t>
      </w:r>
      <w:r w:rsidR="00F54B4C" w:rsidRPr="00CD7296">
        <w:rPr>
          <w:position w:val="-4"/>
        </w:rPr>
        <w:t xml:space="preserve">етодом газовой хроматографии оценивали </w:t>
      </w:r>
      <w:r w:rsidR="00697687" w:rsidRPr="00CD7296">
        <w:rPr>
          <w:position w:val="-4"/>
        </w:rPr>
        <w:t>отклик</w:t>
      </w:r>
      <w:r w:rsidR="00772B28" w:rsidRPr="00CD7296">
        <w:rPr>
          <w:position w:val="-4"/>
        </w:rPr>
        <w:t>и</w:t>
      </w:r>
      <w:r w:rsidR="00697687" w:rsidRPr="00CD7296">
        <w:rPr>
          <w:position w:val="-4"/>
        </w:rPr>
        <w:t xml:space="preserve"> микробного сообщества</w:t>
      </w:r>
      <w:r w:rsidR="00772B28" w:rsidRPr="00CD7296">
        <w:rPr>
          <w:position w:val="-4"/>
        </w:rPr>
        <w:t xml:space="preserve"> дерново-подзолистой почвы (Московская обл.), загрязненной </w:t>
      </w:r>
      <w:r w:rsidR="00073C7D">
        <w:rPr>
          <w:position w:val="-4"/>
        </w:rPr>
        <w:t xml:space="preserve">в лабораторных условиях </w:t>
      </w:r>
      <w:r w:rsidR="00772B28" w:rsidRPr="00CD7296">
        <w:rPr>
          <w:position w:val="-4"/>
        </w:rPr>
        <w:t xml:space="preserve">ТМ, по следующим показателям: </w:t>
      </w:r>
      <w:r w:rsidR="00697687" w:rsidRPr="00CD7296">
        <w:rPr>
          <w:position w:val="-4"/>
        </w:rPr>
        <w:t>углерод микробной биомассы (С</w:t>
      </w:r>
      <w:r w:rsidR="00697687" w:rsidRPr="00C52B42">
        <w:rPr>
          <w:position w:val="-4"/>
        </w:rPr>
        <w:t>мик</w:t>
      </w:r>
      <w:r w:rsidR="00697687" w:rsidRPr="00CD7296">
        <w:rPr>
          <w:position w:val="-4"/>
        </w:rPr>
        <w:t>), базальное дыхание (БД), микробный метаболический коэффициент (</w:t>
      </w:r>
      <w:r w:rsidR="00697687" w:rsidRPr="00073C7D">
        <w:rPr>
          <w:i/>
          <w:iCs/>
          <w:position w:val="-4"/>
        </w:rPr>
        <w:t>q</w:t>
      </w:r>
      <w:r w:rsidR="00697687" w:rsidRPr="00CD7296">
        <w:rPr>
          <w:position w:val="-4"/>
        </w:rPr>
        <w:t>CO</w:t>
      </w:r>
      <w:r w:rsidR="00697687" w:rsidRPr="00073C7D">
        <w:rPr>
          <w:position w:val="-4"/>
          <w:vertAlign w:val="subscript"/>
        </w:rPr>
        <w:t>2</w:t>
      </w:r>
      <w:r w:rsidR="00697687" w:rsidRPr="00C52B42">
        <w:rPr>
          <w:position w:val="-4"/>
        </w:rPr>
        <w:t>)</w:t>
      </w:r>
      <w:r w:rsidR="00772B28">
        <w:rPr>
          <w:position w:val="-4"/>
        </w:rPr>
        <w:t>.</w:t>
      </w:r>
      <w:r w:rsidR="00283BC1">
        <w:rPr>
          <w:position w:val="-4"/>
        </w:rPr>
        <w:t xml:space="preserve"> Соли ТМ вносили в </w:t>
      </w:r>
      <w:r w:rsidR="00CA7840">
        <w:rPr>
          <w:position w:val="-4"/>
        </w:rPr>
        <w:t>почву</w:t>
      </w:r>
      <w:r w:rsidR="00283BC1">
        <w:rPr>
          <w:position w:val="-4"/>
        </w:rPr>
        <w:t xml:space="preserve"> в виде водных растворов (</w:t>
      </w:r>
      <w:r w:rsidR="00283BC1" w:rsidRPr="00CD7296">
        <w:rPr>
          <w:position w:val="-4"/>
        </w:rPr>
        <w:t>ТМ: в концентрациях, эквивалентных 2 ОДК, 4 ОДК, 6 ОДК Cu, Zn, Pb, Cd)</w:t>
      </w:r>
      <w:r w:rsidR="00CA7840" w:rsidRPr="00CD7296">
        <w:rPr>
          <w:position w:val="-4"/>
        </w:rPr>
        <w:t xml:space="preserve"> и выдерживали при 60</w:t>
      </w:r>
      <w:r w:rsidR="00CD7296" w:rsidRPr="00CD7296">
        <w:rPr>
          <w:position w:val="-4"/>
        </w:rPr>
        <w:t>%</w:t>
      </w:r>
      <w:r w:rsidR="00CA7840" w:rsidRPr="00CD7296">
        <w:rPr>
          <w:position w:val="-4"/>
        </w:rPr>
        <w:t xml:space="preserve"> влажности</w:t>
      </w:r>
      <w:r w:rsidR="00CD7296" w:rsidRPr="00CD7296">
        <w:rPr>
          <w:position w:val="-4"/>
        </w:rPr>
        <w:t xml:space="preserve"> от полной влагоемкости</w:t>
      </w:r>
      <w:r w:rsidR="00F54B4C" w:rsidRPr="00CD7296">
        <w:rPr>
          <w:position w:val="-4"/>
        </w:rPr>
        <w:t>.</w:t>
      </w:r>
      <w:r w:rsidR="00CA7840" w:rsidRPr="00CD7296">
        <w:rPr>
          <w:position w:val="-4"/>
        </w:rPr>
        <w:t xml:space="preserve"> Через </w:t>
      </w:r>
      <w:r w:rsidR="00283BC1">
        <w:rPr>
          <w:position w:val="-4"/>
        </w:rPr>
        <w:t xml:space="preserve">3 </w:t>
      </w:r>
      <w:r w:rsidR="00CA7840">
        <w:rPr>
          <w:position w:val="-4"/>
        </w:rPr>
        <w:t xml:space="preserve">недели с целью снижения токсического эффекта </w:t>
      </w:r>
      <w:r w:rsidR="00965138">
        <w:rPr>
          <w:position w:val="-4"/>
        </w:rPr>
        <w:t xml:space="preserve">в </w:t>
      </w:r>
      <w:r w:rsidR="00283BC1">
        <w:rPr>
          <w:position w:val="-4"/>
        </w:rPr>
        <w:t xml:space="preserve">образцы </w:t>
      </w:r>
      <w:r w:rsidR="00F54B4C">
        <w:rPr>
          <w:position w:val="-4"/>
        </w:rPr>
        <w:t xml:space="preserve">вносили </w:t>
      </w:r>
      <w:r w:rsidR="00073C7D">
        <w:rPr>
          <w:position w:val="-4"/>
        </w:rPr>
        <w:t>следующие препараты</w:t>
      </w:r>
      <w:r w:rsidR="00F54B4C">
        <w:rPr>
          <w:position w:val="-4"/>
        </w:rPr>
        <w:t xml:space="preserve"> (</w:t>
      </w:r>
      <w:r w:rsidR="00965138">
        <w:rPr>
          <w:position w:val="-4"/>
        </w:rPr>
        <w:t>в дозе</w:t>
      </w:r>
      <w:r w:rsidR="00F54B4C">
        <w:rPr>
          <w:position w:val="-4"/>
        </w:rPr>
        <w:t xml:space="preserve"> 0.2 %)</w:t>
      </w:r>
      <w:r w:rsidR="00F54B4C" w:rsidRPr="00CA7840">
        <w:rPr>
          <w:position w:val="-4"/>
        </w:rPr>
        <w:t xml:space="preserve">: </w:t>
      </w:r>
      <w:r w:rsidR="00CA7840">
        <w:rPr>
          <w:position w:val="-4"/>
        </w:rPr>
        <w:t>1</w:t>
      </w:r>
      <w:r w:rsidR="00CA7840" w:rsidRPr="00CA7840">
        <w:rPr>
          <w:position w:val="-4"/>
        </w:rPr>
        <w:t>%</w:t>
      </w:r>
      <w:r w:rsidR="00CA7840">
        <w:rPr>
          <w:position w:val="-4"/>
        </w:rPr>
        <w:t xml:space="preserve"> раствор гипан (Г)</w:t>
      </w:r>
      <w:r w:rsidR="00F54B4C">
        <w:rPr>
          <w:position w:val="-4"/>
        </w:rPr>
        <w:t xml:space="preserve">, гипан в композиции с сахалинским гуматом (Г+СГ), а также высушенный измельченной препарат мицелия </w:t>
      </w:r>
      <w:r w:rsidR="00F54B4C" w:rsidRPr="00073C7D">
        <w:rPr>
          <w:i/>
          <w:iCs/>
          <w:position w:val="-4"/>
        </w:rPr>
        <w:t>Alternaria alternatа.</w:t>
      </w:r>
    </w:p>
    <w:p w14:paraId="670E4A4D" w14:textId="4AECA74A" w:rsidR="00697687" w:rsidRDefault="00B036BE" w:rsidP="00A265F0">
      <w:pPr>
        <w:pStyle w:val="afb"/>
        <w:spacing w:before="0" w:beforeAutospacing="0" w:after="0" w:afterAutospacing="0"/>
      </w:pPr>
      <w:r w:rsidRPr="00980684">
        <w:t xml:space="preserve">Загрязнение  почвы </w:t>
      </w:r>
      <w:r w:rsidR="00697687" w:rsidRPr="00980684">
        <w:t xml:space="preserve">ТМ </w:t>
      </w:r>
      <w:r w:rsidRPr="00980684">
        <w:t xml:space="preserve">в дозе </w:t>
      </w:r>
      <w:r w:rsidRPr="00980684">
        <w:t xml:space="preserve">4 и 6 ОДК </w:t>
      </w:r>
      <w:r w:rsidRPr="00980684">
        <w:t xml:space="preserve">привело к  снижению </w:t>
      </w:r>
      <w:r w:rsidR="00697687" w:rsidRPr="00980684">
        <w:t xml:space="preserve"> С</w:t>
      </w:r>
      <w:r w:rsidR="00697687" w:rsidRPr="00980684">
        <w:rPr>
          <w:position w:val="-4"/>
        </w:rPr>
        <w:t xml:space="preserve">мик </w:t>
      </w:r>
      <w:r w:rsidR="00697687" w:rsidRPr="00980684">
        <w:t>на 2</w:t>
      </w:r>
      <w:r w:rsidR="00E52B57" w:rsidRPr="00980684">
        <w:t>6</w:t>
      </w:r>
      <w:r w:rsidR="00697687" w:rsidRPr="00980684">
        <w:t>%</w:t>
      </w:r>
      <w:r w:rsidR="00E52B57" w:rsidRPr="00980684">
        <w:t xml:space="preserve"> и 27%</w:t>
      </w:r>
      <w:r w:rsidRPr="00980684">
        <w:t xml:space="preserve"> доза </w:t>
      </w:r>
      <w:r w:rsidR="00E52B57" w:rsidRPr="00980684">
        <w:t xml:space="preserve">2 ОДК </w:t>
      </w:r>
      <w:r w:rsidRPr="00980684">
        <w:t xml:space="preserve"> не оказала существенного влияния на микробную биомассу. Базальное </w:t>
      </w:r>
      <w:r w:rsidR="00980684" w:rsidRPr="00980684">
        <w:t xml:space="preserve">дыхание (БД) </w:t>
      </w:r>
      <w:r w:rsidRPr="00980684">
        <w:t xml:space="preserve">в присутствии </w:t>
      </w:r>
      <w:r w:rsidR="00980684" w:rsidRPr="00980684">
        <w:t>2, 4 и 6 ОДК</w:t>
      </w:r>
      <w:r w:rsidR="00980684" w:rsidRPr="00980684">
        <w:t xml:space="preserve"> </w:t>
      </w:r>
      <w:r w:rsidRPr="00980684">
        <w:t xml:space="preserve">ТМ </w:t>
      </w:r>
      <w:r w:rsidR="00980684" w:rsidRPr="00980684">
        <w:t>повышалось на</w:t>
      </w:r>
      <w:r w:rsidR="001904A2" w:rsidRPr="00980684">
        <w:t xml:space="preserve"> 28%, 19% и 36%</w:t>
      </w:r>
      <w:r w:rsidR="00697687" w:rsidRPr="00980684">
        <w:t>,</w:t>
      </w:r>
      <w:r w:rsidR="00980684" w:rsidRPr="00980684">
        <w:t xml:space="preserve"> соответственно. Микробный </w:t>
      </w:r>
      <w:r w:rsidR="00697687" w:rsidRPr="00980684">
        <w:t>метаболический коэффициент (</w:t>
      </w:r>
      <w:r w:rsidR="00697687" w:rsidRPr="00980684">
        <w:rPr>
          <w:i/>
          <w:iCs/>
        </w:rPr>
        <w:t>q</w:t>
      </w:r>
      <w:r w:rsidR="00697687" w:rsidRPr="00980684">
        <w:t>CO</w:t>
      </w:r>
      <w:r w:rsidR="00697687" w:rsidRPr="00980684">
        <w:rPr>
          <w:position w:val="-4"/>
        </w:rPr>
        <w:t xml:space="preserve">2 </w:t>
      </w:r>
      <w:r w:rsidR="00697687" w:rsidRPr="00980684">
        <w:t>= БД/С</w:t>
      </w:r>
      <w:r w:rsidR="00697687" w:rsidRPr="00980684">
        <w:rPr>
          <w:position w:val="-4"/>
        </w:rPr>
        <w:t>мик</w:t>
      </w:r>
      <w:r w:rsidR="00980684" w:rsidRPr="00980684">
        <w:t>), высокие значения которого свидетельствуют о неблагополучии микробного сообщества, под влияние ТМ ожидае</w:t>
      </w:r>
      <w:r w:rsidR="002A0B6C">
        <w:t>м</w:t>
      </w:r>
      <w:r w:rsidR="00980684" w:rsidRPr="00980684">
        <w:t xml:space="preserve">о увеличивался </w:t>
      </w:r>
      <w:r w:rsidR="001904A2" w:rsidRPr="00980684">
        <w:t>на 13%, 61% и 86% при 2, 4 и 6 ОДК</w:t>
      </w:r>
      <w:r w:rsidR="00980684" w:rsidRPr="00980684">
        <w:t>, соответственно</w:t>
      </w:r>
      <w:r w:rsidR="001904A2">
        <w:t>.</w:t>
      </w:r>
    </w:p>
    <w:p w14:paraId="09F9E093" w14:textId="0CEA2DC0" w:rsidR="00980684" w:rsidRPr="00980684" w:rsidRDefault="00980684" w:rsidP="00073C7D">
      <w:pPr>
        <w:pStyle w:val="afb"/>
        <w:spacing w:before="0" w:beforeAutospacing="0" w:after="0" w:afterAutospacing="0"/>
      </w:pPr>
      <w:r>
        <w:t xml:space="preserve">Обработка </w:t>
      </w:r>
      <w:r w:rsidR="002A0B6C">
        <w:t>почвы ремедиантами</w:t>
      </w:r>
      <w:r>
        <w:t xml:space="preserve"> оказала заметное воздействие на показатели микробиоты</w:t>
      </w:r>
      <w:r w:rsidRPr="00980684">
        <w:t xml:space="preserve">: </w:t>
      </w:r>
      <w:r>
        <w:t xml:space="preserve">при всех уровнях загрязнения наблюдался </w:t>
      </w:r>
      <w:r w:rsidR="002A0B6C">
        <w:t>прирост Смик</w:t>
      </w:r>
      <w:r>
        <w:t>, особенно заметный при добавке препарата мицелия</w:t>
      </w:r>
      <w:r w:rsidR="002A0B6C">
        <w:t xml:space="preserve"> (таблица)</w:t>
      </w:r>
      <w:r>
        <w:t xml:space="preserve">. </w:t>
      </w:r>
    </w:p>
    <w:p w14:paraId="21BC21CF" w14:textId="5C71391A" w:rsidR="00073C7D" w:rsidRPr="00B036BE" w:rsidRDefault="00073C7D" w:rsidP="002A0B6C">
      <w:pPr>
        <w:pStyle w:val="afb"/>
        <w:spacing w:before="0" w:beforeAutospacing="0" w:after="0" w:afterAutospacing="0"/>
      </w:pPr>
      <w:r w:rsidRPr="00B036BE">
        <w:t xml:space="preserve">Таблица. Эффективность </w:t>
      </w:r>
      <w:r w:rsidRPr="00B036BE">
        <w:t xml:space="preserve">ремедиантов в </w:t>
      </w:r>
      <w:r w:rsidR="00B036BE" w:rsidRPr="00B036BE">
        <w:t xml:space="preserve">почве </w:t>
      </w:r>
      <w:r w:rsidR="002A0B6C">
        <w:t>(</w:t>
      </w:r>
      <w:r w:rsidRPr="00B036BE">
        <w:t xml:space="preserve"> % </w:t>
      </w:r>
      <w:r w:rsidR="00B036BE" w:rsidRPr="00B036BE">
        <w:t>от контроля</w:t>
      </w:r>
      <w:r w:rsidR="002A0B6C">
        <w:t xml:space="preserve"> -</w:t>
      </w:r>
      <w:r w:rsidR="00B036BE" w:rsidRPr="00B036BE">
        <w:t xml:space="preserve"> почва без добавок)  </w:t>
      </w:r>
    </w:p>
    <w:p w14:paraId="16FD6D5C" w14:textId="77777777" w:rsidR="008A5DC8" w:rsidRDefault="008A5DC8" w:rsidP="00A265F0">
      <w:pPr>
        <w:pStyle w:val="afb"/>
        <w:spacing w:before="0" w:beforeAutospacing="0" w:after="0" w:afterAutospacing="0"/>
      </w:pPr>
    </w:p>
    <w:tbl>
      <w:tblPr>
        <w:tblW w:w="10173" w:type="dxa"/>
        <w:tblLook w:val="04A0" w:firstRow="1" w:lastRow="0" w:firstColumn="1" w:lastColumn="0" w:noHBand="0" w:noVBand="1"/>
      </w:tblPr>
      <w:tblGrid>
        <w:gridCol w:w="929"/>
        <w:gridCol w:w="840"/>
        <w:gridCol w:w="1194"/>
        <w:gridCol w:w="1015"/>
        <w:gridCol w:w="858"/>
        <w:gridCol w:w="1219"/>
        <w:gridCol w:w="7"/>
        <w:gridCol w:w="953"/>
        <w:gridCol w:w="39"/>
        <w:gridCol w:w="813"/>
        <w:gridCol w:w="38"/>
        <w:gridCol w:w="1269"/>
        <w:gridCol w:w="6"/>
        <w:gridCol w:w="954"/>
        <w:gridCol w:w="39"/>
      </w:tblGrid>
      <w:tr w:rsidR="00B036BE" w:rsidRPr="00B036BE" w14:paraId="2FB12BCC" w14:textId="77777777" w:rsidTr="002A0B6C">
        <w:trPr>
          <w:gridAfter w:val="1"/>
          <w:wAfter w:w="39" w:type="dxa"/>
          <w:trHeight w:val="272"/>
        </w:trPr>
        <w:tc>
          <w:tcPr>
            <w:tcW w:w="929" w:type="dxa"/>
            <w:vMerge w:val="restart"/>
            <w:tcBorders>
              <w:top w:val="single" w:sz="4" w:space="0" w:color="auto"/>
              <w:left w:val="single" w:sz="4" w:space="0" w:color="auto"/>
              <w:right w:val="single" w:sz="4" w:space="0" w:color="auto"/>
            </w:tcBorders>
            <w:shd w:val="clear" w:color="auto" w:fill="auto"/>
            <w:noWrap/>
            <w:vAlign w:val="bottom"/>
            <w:hideMark/>
          </w:tcPr>
          <w:p w14:paraId="43470F15" w14:textId="0B1E71DC" w:rsidR="002A0B6C" w:rsidRPr="00B036BE" w:rsidRDefault="002A0B6C" w:rsidP="002A0B6C">
            <w:pPr>
              <w:jc w:val="center"/>
              <w:rPr>
                <w:color w:val="000000"/>
                <w:sz w:val="20"/>
                <w:szCs w:val="20"/>
              </w:rPr>
            </w:pPr>
            <w:r>
              <w:rPr>
                <w:color w:val="000000"/>
                <w:sz w:val="20"/>
                <w:szCs w:val="20"/>
              </w:rPr>
              <w:t>Вариант почвы</w:t>
            </w:r>
          </w:p>
        </w:tc>
        <w:tc>
          <w:tcPr>
            <w:tcW w:w="3049" w:type="dxa"/>
            <w:gridSpan w:val="3"/>
            <w:tcBorders>
              <w:top w:val="single" w:sz="4" w:space="0" w:color="auto"/>
              <w:left w:val="nil"/>
              <w:bottom w:val="single" w:sz="4" w:space="0" w:color="auto"/>
              <w:right w:val="single" w:sz="4" w:space="0" w:color="auto"/>
            </w:tcBorders>
            <w:shd w:val="clear" w:color="auto" w:fill="auto"/>
            <w:noWrap/>
            <w:vAlign w:val="bottom"/>
            <w:hideMark/>
          </w:tcPr>
          <w:p w14:paraId="181A73E5" w14:textId="268E7DD8" w:rsidR="00B036BE" w:rsidRPr="00B036BE" w:rsidRDefault="00B036BE" w:rsidP="008A5DC8">
            <w:pPr>
              <w:jc w:val="center"/>
              <w:rPr>
                <w:color w:val="000000"/>
                <w:sz w:val="20"/>
                <w:szCs w:val="20"/>
              </w:rPr>
            </w:pPr>
            <w:r>
              <w:rPr>
                <w:color w:val="000000"/>
                <w:sz w:val="20"/>
                <w:szCs w:val="20"/>
              </w:rPr>
              <w:t>Микробная биомасса (</w:t>
            </w:r>
            <w:r w:rsidRPr="00B036BE">
              <w:rPr>
                <w:color w:val="000000"/>
                <w:sz w:val="20"/>
                <w:szCs w:val="20"/>
              </w:rPr>
              <w:t>Смик</w:t>
            </w:r>
            <w:r>
              <w:rPr>
                <w:color w:val="000000"/>
                <w:sz w:val="20"/>
                <w:szCs w:val="20"/>
              </w:rPr>
              <w:t>)</w:t>
            </w:r>
          </w:p>
        </w:tc>
        <w:tc>
          <w:tcPr>
            <w:tcW w:w="3037" w:type="dxa"/>
            <w:gridSpan w:val="4"/>
            <w:tcBorders>
              <w:top w:val="single" w:sz="4" w:space="0" w:color="auto"/>
              <w:left w:val="nil"/>
              <w:bottom w:val="single" w:sz="4" w:space="0" w:color="auto"/>
              <w:right w:val="single" w:sz="4" w:space="0" w:color="auto"/>
            </w:tcBorders>
            <w:shd w:val="clear" w:color="auto" w:fill="auto"/>
            <w:noWrap/>
            <w:vAlign w:val="bottom"/>
            <w:hideMark/>
          </w:tcPr>
          <w:p w14:paraId="49DCD4CF" w14:textId="0F38556A" w:rsidR="00B036BE" w:rsidRPr="00B036BE" w:rsidRDefault="00B036BE" w:rsidP="008A5DC8">
            <w:pPr>
              <w:jc w:val="center"/>
              <w:rPr>
                <w:color w:val="000000"/>
                <w:sz w:val="20"/>
                <w:szCs w:val="20"/>
              </w:rPr>
            </w:pPr>
            <w:r w:rsidRPr="00B036BE">
              <w:rPr>
                <w:color w:val="000000"/>
                <w:sz w:val="20"/>
                <w:szCs w:val="20"/>
              </w:rPr>
              <w:t>Базально</w:t>
            </w:r>
            <w:r>
              <w:rPr>
                <w:color w:val="000000"/>
                <w:sz w:val="20"/>
                <w:szCs w:val="20"/>
              </w:rPr>
              <w:t>е</w:t>
            </w:r>
            <w:r w:rsidRPr="00B036BE">
              <w:rPr>
                <w:color w:val="000000"/>
                <w:sz w:val="20"/>
                <w:szCs w:val="20"/>
              </w:rPr>
              <w:t xml:space="preserve"> дыхание</w:t>
            </w:r>
          </w:p>
        </w:tc>
        <w:tc>
          <w:tcPr>
            <w:tcW w:w="3119" w:type="dxa"/>
            <w:gridSpan w:val="6"/>
            <w:tcBorders>
              <w:top w:val="single" w:sz="4" w:space="0" w:color="auto"/>
              <w:left w:val="nil"/>
              <w:bottom w:val="single" w:sz="4" w:space="0" w:color="auto"/>
              <w:right w:val="single" w:sz="4" w:space="0" w:color="auto"/>
            </w:tcBorders>
            <w:shd w:val="clear" w:color="auto" w:fill="auto"/>
            <w:noWrap/>
            <w:vAlign w:val="bottom"/>
            <w:hideMark/>
          </w:tcPr>
          <w:p w14:paraId="37DCE104" w14:textId="4A4C7CE6" w:rsidR="00B036BE" w:rsidRPr="00B036BE" w:rsidRDefault="00B036BE" w:rsidP="008A5DC8">
            <w:pPr>
              <w:jc w:val="center"/>
              <w:rPr>
                <w:color w:val="000000"/>
                <w:sz w:val="20"/>
                <w:szCs w:val="20"/>
              </w:rPr>
            </w:pPr>
            <w:r w:rsidRPr="00B036BE">
              <w:rPr>
                <w:color w:val="000000"/>
                <w:sz w:val="20"/>
                <w:szCs w:val="20"/>
              </w:rPr>
              <w:t>qCO</w:t>
            </w:r>
            <w:r w:rsidRPr="00B036BE">
              <w:rPr>
                <w:i/>
                <w:iCs/>
                <w:color w:val="000000"/>
                <w:sz w:val="20"/>
                <w:szCs w:val="20"/>
                <w:vertAlign w:val="subscript"/>
              </w:rPr>
              <w:t>2</w:t>
            </w:r>
          </w:p>
        </w:tc>
      </w:tr>
      <w:tr w:rsidR="00B036BE" w:rsidRPr="00B036BE" w14:paraId="2D521874" w14:textId="77777777" w:rsidTr="002A0B6C">
        <w:trPr>
          <w:gridAfter w:val="1"/>
          <w:wAfter w:w="39" w:type="dxa"/>
          <w:trHeight w:val="268"/>
        </w:trPr>
        <w:tc>
          <w:tcPr>
            <w:tcW w:w="929" w:type="dxa"/>
            <w:vMerge/>
            <w:tcBorders>
              <w:left w:val="single" w:sz="4" w:space="0" w:color="auto"/>
              <w:bottom w:val="single" w:sz="6" w:space="0" w:color="1F4E79" w:themeColor="accent1" w:themeShade="80"/>
              <w:right w:val="single" w:sz="4" w:space="0" w:color="auto"/>
            </w:tcBorders>
            <w:shd w:val="clear" w:color="auto" w:fill="auto"/>
            <w:noWrap/>
            <w:vAlign w:val="bottom"/>
            <w:hideMark/>
          </w:tcPr>
          <w:p w14:paraId="3AEA06AE" w14:textId="73605633" w:rsidR="00B036BE" w:rsidRPr="00B036BE" w:rsidRDefault="00B036BE" w:rsidP="00B036BE">
            <w:pPr>
              <w:jc w:val="center"/>
              <w:rPr>
                <w:color w:val="000000" w:themeColor="text1"/>
                <w:sz w:val="20"/>
                <w:szCs w:val="20"/>
              </w:rPr>
            </w:pPr>
          </w:p>
        </w:tc>
        <w:tc>
          <w:tcPr>
            <w:tcW w:w="840" w:type="dxa"/>
            <w:tcBorders>
              <w:top w:val="nil"/>
              <w:left w:val="nil"/>
              <w:bottom w:val="single" w:sz="4" w:space="0" w:color="auto"/>
              <w:right w:val="single" w:sz="4" w:space="0" w:color="auto"/>
            </w:tcBorders>
            <w:shd w:val="clear" w:color="auto" w:fill="auto"/>
            <w:noWrap/>
            <w:vAlign w:val="bottom"/>
            <w:hideMark/>
          </w:tcPr>
          <w:p w14:paraId="3F0F0552" w14:textId="5CA6EEA7" w:rsidR="00B036BE" w:rsidRPr="00B036BE" w:rsidRDefault="00B036BE" w:rsidP="002A0B6C">
            <w:pPr>
              <w:ind w:left="-73"/>
              <w:jc w:val="center"/>
              <w:rPr>
                <w:color w:val="000000"/>
                <w:sz w:val="20"/>
                <w:szCs w:val="20"/>
              </w:rPr>
            </w:pPr>
            <w:r>
              <w:rPr>
                <w:color w:val="000000"/>
                <w:sz w:val="20"/>
                <w:szCs w:val="20"/>
              </w:rPr>
              <w:t>г</w:t>
            </w:r>
            <w:r w:rsidRPr="00B036BE">
              <w:rPr>
                <w:color w:val="000000"/>
                <w:sz w:val="20"/>
                <w:szCs w:val="20"/>
              </w:rPr>
              <w:t>ипан</w:t>
            </w:r>
          </w:p>
        </w:tc>
        <w:tc>
          <w:tcPr>
            <w:tcW w:w="1194" w:type="dxa"/>
            <w:tcBorders>
              <w:top w:val="nil"/>
              <w:left w:val="nil"/>
              <w:bottom w:val="single" w:sz="4" w:space="0" w:color="auto"/>
              <w:right w:val="single" w:sz="4" w:space="0" w:color="auto"/>
            </w:tcBorders>
            <w:shd w:val="clear" w:color="auto" w:fill="auto"/>
            <w:noWrap/>
            <w:vAlign w:val="bottom"/>
            <w:hideMark/>
          </w:tcPr>
          <w:p w14:paraId="3E4BF8E6" w14:textId="2A02BBB2" w:rsidR="00B036BE" w:rsidRPr="00B036BE" w:rsidRDefault="00B036BE" w:rsidP="002A0B6C">
            <w:pPr>
              <w:ind w:left="-108"/>
              <w:rPr>
                <w:color w:val="000000"/>
                <w:sz w:val="20"/>
                <w:szCs w:val="20"/>
              </w:rPr>
            </w:pPr>
            <w:r w:rsidRPr="00B036BE">
              <w:rPr>
                <w:color w:val="000000"/>
                <w:sz w:val="20"/>
                <w:szCs w:val="20"/>
              </w:rPr>
              <w:t>гипан + СГ</w:t>
            </w:r>
          </w:p>
        </w:tc>
        <w:tc>
          <w:tcPr>
            <w:tcW w:w="1015" w:type="dxa"/>
            <w:tcBorders>
              <w:top w:val="nil"/>
              <w:left w:val="nil"/>
              <w:bottom w:val="single" w:sz="4" w:space="0" w:color="auto"/>
              <w:right w:val="single" w:sz="4" w:space="0" w:color="auto"/>
            </w:tcBorders>
            <w:shd w:val="clear" w:color="auto" w:fill="auto"/>
            <w:noWrap/>
            <w:vAlign w:val="bottom"/>
            <w:hideMark/>
          </w:tcPr>
          <w:p w14:paraId="03986ECB" w14:textId="45E76D09" w:rsidR="00B036BE" w:rsidRPr="00B036BE" w:rsidRDefault="00B036BE" w:rsidP="002A0B6C">
            <w:pPr>
              <w:rPr>
                <w:color w:val="000000"/>
                <w:sz w:val="20"/>
                <w:szCs w:val="20"/>
              </w:rPr>
            </w:pPr>
            <w:r>
              <w:rPr>
                <w:color w:val="000000"/>
                <w:sz w:val="20"/>
                <w:szCs w:val="20"/>
              </w:rPr>
              <w:t>м</w:t>
            </w:r>
            <w:r w:rsidRPr="00B036BE">
              <w:rPr>
                <w:color w:val="000000"/>
                <w:sz w:val="20"/>
                <w:szCs w:val="20"/>
              </w:rPr>
              <w:t>ицелий</w:t>
            </w:r>
          </w:p>
        </w:tc>
        <w:tc>
          <w:tcPr>
            <w:tcW w:w="858" w:type="dxa"/>
            <w:tcBorders>
              <w:top w:val="nil"/>
              <w:left w:val="nil"/>
              <w:bottom w:val="single" w:sz="4" w:space="0" w:color="auto"/>
              <w:right w:val="single" w:sz="4" w:space="0" w:color="auto"/>
            </w:tcBorders>
            <w:shd w:val="clear" w:color="auto" w:fill="auto"/>
            <w:noWrap/>
            <w:vAlign w:val="bottom"/>
            <w:hideMark/>
          </w:tcPr>
          <w:p w14:paraId="09DF100E" w14:textId="5A4ED626" w:rsidR="00B036BE" w:rsidRPr="00B036BE" w:rsidRDefault="00B036BE" w:rsidP="002A0B6C">
            <w:pPr>
              <w:rPr>
                <w:color w:val="000000"/>
                <w:sz w:val="20"/>
                <w:szCs w:val="20"/>
              </w:rPr>
            </w:pPr>
            <w:r>
              <w:rPr>
                <w:color w:val="000000"/>
                <w:sz w:val="20"/>
                <w:szCs w:val="20"/>
              </w:rPr>
              <w:t>г</w:t>
            </w:r>
            <w:r w:rsidRPr="00B036BE">
              <w:rPr>
                <w:color w:val="000000"/>
                <w:sz w:val="20"/>
                <w:szCs w:val="20"/>
              </w:rPr>
              <w:t>ипан</w:t>
            </w:r>
          </w:p>
        </w:tc>
        <w:tc>
          <w:tcPr>
            <w:tcW w:w="1219" w:type="dxa"/>
            <w:tcBorders>
              <w:top w:val="nil"/>
              <w:left w:val="nil"/>
              <w:bottom w:val="single" w:sz="4" w:space="0" w:color="auto"/>
              <w:right w:val="single" w:sz="4" w:space="0" w:color="auto"/>
            </w:tcBorders>
            <w:shd w:val="clear" w:color="auto" w:fill="auto"/>
            <w:noWrap/>
            <w:vAlign w:val="bottom"/>
            <w:hideMark/>
          </w:tcPr>
          <w:p w14:paraId="4D77A64D" w14:textId="1D7A4E84" w:rsidR="00B036BE" w:rsidRPr="00B036BE" w:rsidRDefault="00B036BE" w:rsidP="002A0B6C">
            <w:pPr>
              <w:rPr>
                <w:color w:val="000000"/>
                <w:sz w:val="20"/>
                <w:szCs w:val="20"/>
              </w:rPr>
            </w:pPr>
            <w:r w:rsidRPr="00B036BE">
              <w:rPr>
                <w:color w:val="000000"/>
                <w:sz w:val="20"/>
                <w:szCs w:val="20"/>
              </w:rPr>
              <w:t>гипан + СГ</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0233C12D" w14:textId="12C84035" w:rsidR="00B036BE" w:rsidRPr="00B036BE" w:rsidRDefault="00B036BE" w:rsidP="002A0B6C">
            <w:pPr>
              <w:rPr>
                <w:color w:val="000000"/>
                <w:sz w:val="20"/>
                <w:szCs w:val="20"/>
              </w:rPr>
            </w:pPr>
            <w:r>
              <w:rPr>
                <w:color w:val="000000"/>
                <w:sz w:val="20"/>
                <w:szCs w:val="20"/>
              </w:rPr>
              <w:t>м</w:t>
            </w:r>
            <w:r w:rsidRPr="00B036BE">
              <w:rPr>
                <w:color w:val="000000"/>
                <w:sz w:val="20"/>
                <w:szCs w:val="20"/>
              </w:rPr>
              <w:t>ицелий</w:t>
            </w:r>
          </w:p>
        </w:tc>
        <w:tc>
          <w:tcPr>
            <w:tcW w:w="852" w:type="dxa"/>
            <w:gridSpan w:val="2"/>
            <w:tcBorders>
              <w:top w:val="nil"/>
              <w:left w:val="nil"/>
              <w:bottom w:val="single" w:sz="4" w:space="0" w:color="auto"/>
              <w:right w:val="single" w:sz="4" w:space="0" w:color="auto"/>
            </w:tcBorders>
            <w:shd w:val="clear" w:color="auto" w:fill="auto"/>
            <w:noWrap/>
            <w:vAlign w:val="bottom"/>
            <w:hideMark/>
          </w:tcPr>
          <w:p w14:paraId="16868FBA" w14:textId="2753FF55" w:rsidR="00B036BE" w:rsidRPr="00B036BE" w:rsidRDefault="00B036BE" w:rsidP="002A0B6C">
            <w:pPr>
              <w:rPr>
                <w:color w:val="000000"/>
                <w:sz w:val="20"/>
                <w:szCs w:val="20"/>
              </w:rPr>
            </w:pPr>
            <w:r>
              <w:rPr>
                <w:color w:val="000000"/>
                <w:sz w:val="20"/>
                <w:szCs w:val="20"/>
              </w:rPr>
              <w:t>г</w:t>
            </w:r>
            <w:r w:rsidRPr="00B036BE">
              <w:rPr>
                <w:color w:val="000000"/>
                <w:sz w:val="20"/>
                <w:szCs w:val="20"/>
              </w:rPr>
              <w:t>ипан</w:t>
            </w:r>
          </w:p>
        </w:tc>
        <w:tc>
          <w:tcPr>
            <w:tcW w:w="1307" w:type="dxa"/>
            <w:gridSpan w:val="2"/>
            <w:tcBorders>
              <w:top w:val="nil"/>
              <w:left w:val="nil"/>
              <w:bottom w:val="single" w:sz="4" w:space="0" w:color="auto"/>
              <w:right w:val="single" w:sz="4" w:space="0" w:color="auto"/>
            </w:tcBorders>
            <w:shd w:val="clear" w:color="auto" w:fill="auto"/>
            <w:noWrap/>
            <w:vAlign w:val="bottom"/>
            <w:hideMark/>
          </w:tcPr>
          <w:p w14:paraId="434484C6" w14:textId="5C771DB1" w:rsidR="00B036BE" w:rsidRPr="00B036BE" w:rsidRDefault="00B036BE" w:rsidP="002A0B6C">
            <w:pPr>
              <w:rPr>
                <w:color w:val="000000"/>
                <w:sz w:val="20"/>
                <w:szCs w:val="20"/>
              </w:rPr>
            </w:pPr>
            <w:r w:rsidRPr="00B036BE">
              <w:rPr>
                <w:color w:val="000000"/>
                <w:sz w:val="20"/>
                <w:szCs w:val="20"/>
              </w:rPr>
              <w:t>гипан + СГ</w:t>
            </w:r>
          </w:p>
        </w:tc>
        <w:tc>
          <w:tcPr>
            <w:tcW w:w="960" w:type="dxa"/>
            <w:gridSpan w:val="2"/>
            <w:tcBorders>
              <w:top w:val="nil"/>
              <w:left w:val="nil"/>
              <w:bottom w:val="single" w:sz="4" w:space="0" w:color="auto"/>
              <w:right w:val="single" w:sz="4" w:space="0" w:color="auto"/>
            </w:tcBorders>
            <w:shd w:val="clear" w:color="auto" w:fill="auto"/>
            <w:noWrap/>
            <w:vAlign w:val="bottom"/>
            <w:hideMark/>
          </w:tcPr>
          <w:p w14:paraId="36A6853C" w14:textId="60BB09E2" w:rsidR="00B036BE" w:rsidRPr="00B036BE" w:rsidRDefault="00B036BE" w:rsidP="002A0B6C">
            <w:pPr>
              <w:jc w:val="center"/>
              <w:rPr>
                <w:color w:val="000000"/>
                <w:sz w:val="20"/>
                <w:szCs w:val="20"/>
              </w:rPr>
            </w:pPr>
            <w:r>
              <w:rPr>
                <w:color w:val="000000"/>
                <w:sz w:val="20"/>
                <w:szCs w:val="20"/>
              </w:rPr>
              <w:t>м</w:t>
            </w:r>
            <w:r w:rsidRPr="00B036BE">
              <w:rPr>
                <w:color w:val="000000"/>
                <w:sz w:val="20"/>
                <w:szCs w:val="20"/>
              </w:rPr>
              <w:t>ицелий</w:t>
            </w:r>
          </w:p>
        </w:tc>
      </w:tr>
      <w:tr w:rsidR="00B036BE" w:rsidRPr="00B036BE" w14:paraId="738C44FC" w14:textId="77777777" w:rsidTr="002A0B6C">
        <w:trPr>
          <w:trHeight w:val="272"/>
        </w:trPr>
        <w:tc>
          <w:tcPr>
            <w:tcW w:w="929" w:type="dxa"/>
            <w:tcBorders>
              <w:top w:val="single" w:sz="6" w:space="0" w:color="1F4E79" w:themeColor="accent1" w:themeShade="80"/>
              <w:left w:val="single" w:sz="4" w:space="0" w:color="auto"/>
              <w:bottom w:val="single" w:sz="4" w:space="0" w:color="auto"/>
              <w:right w:val="single" w:sz="4" w:space="0" w:color="auto"/>
            </w:tcBorders>
            <w:shd w:val="clear" w:color="auto" w:fill="auto"/>
            <w:noWrap/>
            <w:vAlign w:val="bottom"/>
            <w:hideMark/>
          </w:tcPr>
          <w:p w14:paraId="4180E2D2" w14:textId="77777777" w:rsidR="00B036BE" w:rsidRPr="00B036BE" w:rsidRDefault="00B036BE" w:rsidP="00B036BE">
            <w:pPr>
              <w:jc w:val="center"/>
              <w:rPr>
                <w:color w:val="000000" w:themeColor="text1"/>
                <w:sz w:val="20"/>
                <w:szCs w:val="20"/>
              </w:rPr>
            </w:pPr>
            <w:r w:rsidRPr="00B036BE">
              <w:rPr>
                <w:color w:val="000000" w:themeColor="text1"/>
                <w:sz w:val="20"/>
                <w:szCs w:val="20"/>
              </w:rPr>
              <w:t>0 ОДК</w:t>
            </w:r>
          </w:p>
        </w:tc>
        <w:tc>
          <w:tcPr>
            <w:tcW w:w="840" w:type="dxa"/>
            <w:tcBorders>
              <w:top w:val="nil"/>
              <w:left w:val="nil"/>
              <w:bottom w:val="single" w:sz="4" w:space="0" w:color="auto"/>
              <w:right w:val="single" w:sz="4" w:space="0" w:color="auto"/>
            </w:tcBorders>
            <w:shd w:val="clear" w:color="auto" w:fill="auto"/>
            <w:noWrap/>
            <w:vAlign w:val="bottom"/>
            <w:hideMark/>
          </w:tcPr>
          <w:p w14:paraId="088A737A" w14:textId="4969CF73" w:rsidR="00B036BE" w:rsidRPr="00B036BE" w:rsidRDefault="00B036BE" w:rsidP="00B036BE">
            <w:pPr>
              <w:jc w:val="center"/>
              <w:rPr>
                <w:color w:val="000000"/>
                <w:sz w:val="20"/>
                <w:szCs w:val="20"/>
              </w:rPr>
            </w:pPr>
            <w:r w:rsidRPr="00B036BE">
              <w:rPr>
                <w:color w:val="000000"/>
                <w:sz w:val="20"/>
                <w:szCs w:val="20"/>
              </w:rPr>
              <w:t>101</w:t>
            </w:r>
          </w:p>
        </w:tc>
        <w:tc>
          <w:tcPr>
            <w:tcW w:w="1194" w:type="dxa"/>
            <w:tcBorders>
              <w:top w:val="nil"/>
              <w:left w:val="nil"/>
              <w:bottom w:val="single" w:sz="4" w:space="0" w:color="auto"/>
              <w:right w:val="single" w:sz="4" w:space="0" w:color="auto"/>
            </w:tcBorders>
            <w:shd w:val="clear" w:color="auto" w:fill="auto"/>
            <w:noWrap/>
            <w:vAlign w:val="bottom"/>
            <w:hideMark/>
          </w:tcPr>
          <w:p w14:paraId="427CB2FD" w14:textId="43FE82BE" w:rsidR="00B036BE" w:rsidRPr="00B036BE" w:rsidRDefault="00B036BE" w:rsidP="00B036BE">
            <w:pPr>
              <w:jc w:val="center"/>
              <w:rPr>
                <w:color w:val="000000"/>
                <w:sz w:val="20"/>
                <w:szCs w:val="20"/>
              </w:rPr>
            </w:pPr>
            <w:r w:rsidRPr="00B036BE">
              <w:rPr>
                <w:color w:val="000000"/>
                <w:sz w:val="20"/>
                <w:szCs w:val="20"/>
              </w:rPr>
              <w:t>71</w:t>
            </w:r>
          </w:p>
        </w:tc>
        <w:tc>
          <w:tcPr>
            <w:tcW w:w="1015" w:type="dxa"/>
            <w:tcBorders>
              <w:top w:val="nil"/>
              <w:left w:val="nil"/>
              <w:bottom w:val="single" w:sz="4" w:space="0" w:color="auto"/>
              <w:right w:val="single" w:sz="4" w:space="0" w:color="auto"/>
            </w:tcBorders>
            <w:shd w:val="clear" w:color="auto" w:fill="auto"/>
            <w:noWrap/>
            <w:vAlign w:val="bottom"/>
            <w:hideMark/>
          </w:tcPr>
          <w:p w14:paraId="44EB5912" w14:textId="6C300B95" w:rsidR="00B036BE" w:rsidRPr="00B036BE" w:rsidRDefault="00B036BE" w:rsidP="002A0B6C">
            <w:pPr>
              <w:ind w:left="-129"/>
              <w:jc w:val="center"/>
              <w:rPr>
                <w:color w:val="000000"/>
                <w:sz w:val="20"/>
                <w:szCs w:val="20"/>
              </w:rPr>
            </w:pPr>
            <w:r w:rsidRPr="00B036BE">
              <w:rPr>
                <w:color w:val="000000"/>
                <w:sz w:val="20"/>
                <w:szCs w:val="20"/>
              </w:rPr>
              <w:t>327</w:t>
            </w:r>
          </w:p>
        </w:tc>
        <w:tc>
          <w:tcPr>
            <w:tcW w:w="858" w:type="dxa"/>
            <w:tcBorders>
              <w:top w:val="nil"/>
              <w:left w:val="nil"/>
              <w:bottom w:val="single" w:sz="4" w:space="0" w:color="auto"/>
              <w:right w:val="single" w:sz="4" w:space="0" w:color="auto"/>
            </w:tcBorders>
            <w:shd w:val="clear" w:color="auto" w:fill="auto"/>
            <w:noWrap/>
            <w:vAlign w:val="bottom"/>
            <w:hideMark/>
          </w:tcPr>
          <w:p w14:paraId="13C4D41E" w14:textId="1A1349A8" w:rsidR="00B036BE" w:rsidRPr="00B036BE" w:rsidRDefault="00B036BE" w:rsidP="002A0B6C">
            <w:pPr>
              <w:ind w:right="-58"/>
              <w:jc w:val="center"/>
              <w:rPr>
                <w:color w:val="000000"/>
                <w:sz w:val="20"/>
                <w:szCs w:val="20"/>
              </w:rPr>
            </w:pPr>
            <w:r w:rsidRPr="00B036BE">
              <w:rPr>
                <w:color w:val="000000"/>
                <w:sz w:val="20"/>
                <w:szCs w:val="20"/>
              </w:rPr>
              <w:t>63</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010A4ECE" w14:textId="6036B893" w:rsidR="00B036BE" w:rsidRPr="00B036BE" w:rsidRDefault="00B036BE" w:rsidP="002A0B6C">
            <w:pPr>
              <w:ind w:left="-158"/>
              <w:jc w:val="center"/>
              <w:rPr>
                <w:color w:val="000000"/>
                <w:sz w:val="20"/>
                <w:szCs w:val="20"/>
              </w:rPr>
            </w:pPr>
            <w:r w:rsidRPr="00B036BE">
              <w:rPr>
                <w:color w:val="000000"/>
                <w:sz w:val="20"/>
                <w:szCs w:val="20"/>
              </w:rPr>
              <w:t>19</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37DE864" w14:textId="21E956DD" w:rsidR="00B036BE" w:rsidRPr="00B036BE" w:rsidRDefault="00B036BE" w:rsidP="00B036BE">
            <w:pPr>
              <w:jc w:val="center"/>
              <w:rPr>
                <w:color w:val="000000"/>
                <w:sz w:val="20"/>
                <w:szCs w:val="20"/>
              </w:rPr>
            </w:pPr>
            <w:r w:rsidRPr="00B036BE">
              <w:rPr>
                <w:color w:val="000000"/>
                <w:sz w:val="20"/>
                <w:szCs w:val="20"/>
              </w:rPr>
              <w:t>1227</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1048F69C" w14:textId="753D3045" w:rsidR="00B036BE" w:rsidRPr="00B036BE" w:rsidRDefault="00B036BE" w:rsidP="00B036BE">
            <w:pPr>
              <w:jc w:val="center"/>
              <w:rPr>
                <w:color w:val="000000"/>
                <w:sz w:val="20"/>
                <w:szCs w:val="20"/>
              </w:rPr>
            </w:pPr>
            <w:r w:rsidRPr="00B036BE">
              <w:rPr>
                <w:color w:val="000000"/>
                <w:sz w:val="20"/>
                <w:szCs w:val="20"/>
              </w:rPr>
              <w:t>-20</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5A297913" w14:textId="750671E9" w:rsidR="00B036BE" w:rsidRPr="00B036BE" w:rsidRDefault="00B036BE" w:rsidP="00B036BE">
            <w:pPr>
              <w:jc w:val="center"/>
              <w:rPr>
                <w:color w:val="000000"/>
                <w:sz w:val="20"/>
                <w:szCs w:val="20"/>
              </w:rPr>
            </w:pPr>
            <w:r w:rsidRPr="00B036BE">
              <w:rPr>
                <w:color w:val="000000"/>
                <w:sz w:val="20"/>
                <w:szCs w:val="20"/>
              </w:rPr>
              <w:t>-31</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0416A388" w14:textId="3FCDA00A" w:rsidR="00B036BE" w:rsidRPr="00B036BE" w:rsidRDefault="00B036BE" w:rsidP="00B036BE">
            <w:pPr>
              <w:jc w:val="center"/>
              <w:rPr>
                <w:color w:val="000000"/>
                <w:sz w:val="20"/>
                <w:szCs w:val="20"/>
              </w:rPr>
            </w:pPr>
            <w:r w:rsidRPr="00B036BE">
              <w:rPr>
                <w:color w:val="000000"/>
                <w:sz w:val="20"/>
                <w:szCs w:val="20"/>
              </w:rPr>
              <w:t>211</w:t>
            </w:r>
          </w:p>
        </w:tc>
      </w:tr>
      <w:tr w:rsidR="00B036BE" w:rsidRPr="00B036BE" w14:paraId="078257A1" w14:textId="77777777" w:rsidTr="002A0B6C">
        <w:trPr>
          <w:trHeight w:val="272"/>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673F7AAB" w14:textId="77777777" w:rsidR="00B036BE" w:rsidRPr="00B036BE" w:rsidRDefault="00B036BE" w:rsidP="00B036BE">
            <w:pPr>
              <w:jc w:val="center"/>
              <w:rPr>
                <w:color w:val="000000"/>
                <w:sz w:val="20"/>
                <w:szCs w:val="20"/>
              </w:rPr>
            </w:pPr>
            <w:r w:rsidRPr="00B036BE">
              <w:rPr>
                <w:color w:val="000000"/>
                <w:sz w:val="20"/>
                <w:szCs w:val="20"/>
              </w:rPr>
              <w:t>2 ОДК</w:t>
            </w:r>
          </w:p>
        </w:tc>
        <w:tc>
          <w:tcPr>
            <w:tcW w:w="840" w:type="dxa"/>
            <w:tcBorders>
              <w:top w:val="nil"/>
              <w:left w:val="nil"/>
              <w:bottom w:val="single" w:sz="4" w:space="0" w:color="auto"/>
              <w:right w:val="single" w:sz="4" w:space="0" w:color="auto"/>
            </w:tcBorders>
            <w:shd w:val="clear" w:color="auto" w:fill="auto"/>
            <w:noWrap/>
            <w:vAlign w:val="bottom"/>
            <w:hideMark/>
          </w:tcPr>
          <w:p w14:paraId="0951ED88" w14:textId="7B485307" w:rsidR="00B036BE" w:rsidRPr="00B036BE" w:rsidRDefault="00B036BE" w:rsidP="00B036BE">
            <w:pPr>
              <w:jc w:val="center"/>
              <w:rPr>
                <w:color w:val="000000"/>
                <w:sz w:val="20"/>
                <w:szCs w:val="20"/>
              </w:rPr>
            </w:pPr>
            <w:r w:rsidRPr="00B036BE">
              <w:rPr>
                <w:color w:val="000000"/>
                <w:sz w:val="20"/>
                <w:szCs w:val="20"/>
              </w:rPr>
              <w:t>35</w:t>
            </w:r>
          </w:p>
        </w:tc>
        <w:tc>
          <w:tcPr>
            <w:tcW w:w="1194" w:type="dxa"/>
            <w:tcBorders>
              <w:top w:val="nil"/>
              <w:left w:val="nil"/>
              <w:bottom w:val="single" w:sz="4" w:space="0" w:color="auto"/>
              <w:right w:val="single" w:sz="4" w:space="0" w:color="auto"/>
            </w:tcBorders>
            <w:shd w:val="clear" w:color="auto" w:fill="auto"/>
            <w:noWrap/>
            <w:vAlign w:val="bottom"/>
            <w:hideMark/>
          </w:tcPr>
          <w:p w14:paraId="2712341A" w14:textId="15EA83E0" w:rsidR="00B036BE" w:rsidRPr="00B036BE" w:rsidRDefault="00B036BE" w:rsidP="00B036BE">
            <w:pPr>
              <w:jc w:val="center"/>
              <w:rPr>
                <w:color w:val="000000"/>
                <w:sz w:val="20"/>
                <w:szCs w:val="20"/>
              </w:rPr>
            </w:pPr>
            <w:r w:rsidRPr="00B036BE">
              <w:rPr>
                <w:color w:val="000000"/>
                <w:sz w:val="20"/>
                <w:szCs w:val="20"/>
              </w:rPr>
              <w:t>19</w:t>
            </w:r>
          </w:p>
        </w:tc>
        <w:tc>
          <w:tcPr>
            <w:tcW w:w="1015" w:type="dxa"/>
            <w:tcBorders>
              <w:top w:val="nil"/>
              <w:left w:val="nil"/>
              <w:bottom w:val="single" w:sz="4" w:space="0" w:color="auto"/>
              <w:right w:val="single" w:sz="4" w:space="0" w:color="auto"/>
            </w:tcBorders>
            <w:shd w:val="clear" w:color="auto" w:fill="auto"/>
            <w:noWrap/>
            <w:vAlign w:val="bottom"/>
            <w:hideMark/>
          </w:tcPr>
          <w:p w14:paraId="00659E0B" w14:textId="0A3945D9" w:rsidR="00B036BE" w:rsidRPr="00B036BE" w:rsidRDefault="00B036BE" w:rsidP="00B036BE">
            <w:pPr>
              <w:jc w:val="center"/>
              <w:rPr>
                <w:color w:val="000000"/>
                <w:sz w:val="20"/>
                <w:szCs w:val="20"/>
              </w:rPr>
            </w:pPr>
            <w:r w:rsidRPr="00B036BE">
              <w:rPr>
                <w:color w:val="000000"/>
                <w:sz w:val="20"/>
                <w:szCs w:val="20"/>
              </w:rPr>
              <w:t>349</w:t>
            </w:r>
          </w:p>
        </w:tc>
        <w:tc>
          <w:tcPr>
            <w:tcW w:w="858" w:type="dxa"/>
            <w:tcBorders>
              <w:top w:val="nil"/>
              <w:left w:val="nil"/>
              <w:bottom w:val="single" w:sz="4" w:space="0" w:color="auto"/>
              <w:right w:val="single" w:sz="4" w:space="0" w:color="auto"/>
            </w:tcBorders>
            <w:shd w:val="clear" w:color="auto" w:fill="auto"/>
            <w:noWrap/>
            <w:vAlign w:val="bottom"/>
            <w:hideMark/>
          </w:tcPr>
          <w:p w14:paraId="556CC23E" w14:textId="70FD6BF3" w:rsidR="00B036BE" w:rsidRPr="00B036BE" w:rsidRDefault="00B036BE" w:rsidP="00B036BE">
            <w:pPr>
              <w:jc w:val="center"/>
              <w:rPr>
                <w:color w:val="000000"/>
                <w:sz w:val="20"/>
                <w:szCs w:val="20"/>
              </w:rPr>
            </w:pPr>
            <w:r w:rsidRPr="00B036BE">
              <w:rPr>
                <w:color w:val="000000"/>
                <w:sz w:val="20"/>
                <w:szCs w:val="20"/>
              </w:rPr>
              <w:t>-18</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4864B1D8" w14:textId="2E53D5B7" w:rsidR="00B036BE" w:rsidRPr="00B036BE" w:rsidRDefault="00B036BE" w:rsidP="00B036BE">
            <w:pPr>
              <w:jc w:val="center"/>
              <w:rPr>
                <w:color w:val="000000"/>
                <w:sz w:val="20"/>
                <w:szCs w:val="20"/>
              </w:rPr>
            </w:pPr>
            <w:r w:rsidRPr="00B036BE">
              <w:rPr>
                <w:color w:val="000000"/>
                <w:sz w:val="20"/>
                <w:szCs w:val="20"/>
              </w:rPr>
              <w:t>-31</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A079438" w14:textId="0FB62C89" w:rsidR="00B036BE" w:rsidRPr="00B036BE" w:rsidRDefault="00B036BE" w:rsidP="00B036BE">
            <w:pPr>
              <w:jc w:val="center"/>
              <w:rPr>
                <w:color w:val="000000"/>
                <w:sz w:val="20"/>
                <w:szCs w:val="20"/>
              </w:rPr>
            </w:pPr>
            <w:r w:rsidRPr="00B036BE">
              <w:rPr>
                <w:color w:val="000000"/>
                <w:sz w:val="20"/>
                <w:szCs w:val="20"/>
              </w:rPr>
              <w:t>871</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6FCDFFA2" w14:textId="4771AF97" w:rsidR="00B036BE" w:rsidRPr="00B036BE" w:rsidRDefault="00B036BE" w:rsidP="00B036BE">
            <w:pPr>
              <w:jc w:val="center"/>
              <w:rPr>
                <w:color w:val="000000"/>
                <w:sz w:val="20"/>
                <w:szCs w:val="20"/>
              </w:rPr>
            </w:pPr>
            <w:r w:rsidRPr="00B036BE">
              <w:rPr>
                <w:color w:val="000000"/>
                <w:sz w:val="20"/>
                <w:szCs w:val="20"/>
              </w:rPr>
              <w:t>-39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4CD4DB25" w14:textId="134CF860" w:rsidR="00B036BE" w:rsidRPr="00B036BE" w:rsidRDefault="00B036BE" w:rsidP="00B036BE">
            <w:pPr>
              <w:jc w:val="center"/>
              <w:rPr>
                <w:color w:val="000000"/>
                <w:sz w:val="20"/>
                <w:szCs w:val="20"/>
              </w:rPr>
            </w:pPr>
            <w:r w:rsidRPr="00B036BE">
              <w:rPr>
                <w:color w:val="000000"/>
                <w:sz w:val="20"/>
                <w:szCs w:val="20"/>
              </w:rPr>
              <w:t>-41</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CE7E67F" w14:textId="4E8179EC" w:rsidR="00B036BE" w:rsidRPr="00B036BE" w:rsidRDefault="00B036BE" w:rsidP="00B036BE">
            <w:pPr>
              <w:jc w:val="center"/>
              <w:rPr>
                <w:color w:val="000000"/>
                <w:sz w:val="20"/>
                <w:szCs w:val="20"/>
              </w:rPr>
            </w:pPr>
            <w:r w:rsidRPr="00B036BE">
              <w:rPr>
                <w:color w:val="000000"/>
                <w:sz w:val="20"/>
                <w:szCs w:val="20"/>
              </w:rPr>
              <w:t>119</w:t>
            </w:r>
          </w:p>
        </w:tc>
      </w:tr>
      <w:tr w:rsidR="00B036BE" w:rsidRPr="00B036BE" w14:paraId="6885A22E" w14:textId="77777777" w:rsidTr="002A0B6C">
        <w:trPr>
          <w:trHeight w:val="272"/>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2E686586" w14:textId="77777777" w:rsidR="00B036BE" w:rsidRPr="00B036BE" w:rsidRDefault="00B036BE" w:rsidP="00B036BE">
            <w:pPr>
              <w:jc w:val="center"/>
              <w:rPr>
                <w:color w:val="000000"/>
                <w:sz w:val="20"/>
                <w:szCs w:val="20"/>
              </w:rPr>
            </w:pPr>
            <w:r w:rsidRPr="00B036BE">
              <w:rPr>
                <w:color w:val="000000"/>
                <w:sz w:val="20"/>
                <w:szCs w:val="20"/>
              </w:rPr>
              <w:t>4 ОДК</w:t>
            </w:r>
          </w:p>
        </w:tc>
        <w:tc>
          <w:tcPr>
            <w:tcW w:w="840" w:type="dxa"/>
            <w:tcBorders>
              <w:top w:val="nil"/>
              <w:left w:val="nil"/>
              <w:bottom w:val="single" w:sz="4" w:space="0" w:color="auto"/>
              <w:right w:val="single" w:sz="4" w:space="0" w:color="auto"/>
            </w:tcBorders>
            <w:shd w:val="clear" w:color="auto" w:fill="auto"/>
            <w:noWrap/>
            <w:vAlign w:val="bottom"/>
            <w:hideMark/>
          </w:tcPr>
          <w:p w14:paraId="760B9BB2" w14:textId="20A63519" w:rsidR="00B036BE" w:rsidRPr="00B036BE" w:rsidRDefault="00B036BE" w:rsidP="00B036BE">
            <w:pPr>
              <w:jc w:val="center"/>
              <w:rPr>
                <w:color w:val="000000"/>
                <w:sz w:val="20"/>
                <w:szCs w:val="20"/>
              </w:rPr>
            </w:pPr>
            <w:r w:rsidRPr="00B036BE">
              <w:rPr>
                <w:color w:val="000000"/>
                <w:sz w:val="20"/>
                <w:szCs w:val="20"/>
              </w:rPr>
              <w:t>43</w:t>
            </w:r>
          </w:p>
        </w:tc>
        <w:tc>
          <w:tcPr>
            <w:tcW w:w="1194" w:type="dxa"/>
            <w:tcBorders>
              <w:top w:val="nil"/>
              <w:left w:val="nil"/>
              <w:bottom w:val="single" w:sz="4" w:space="0" w:color="auto"/>
              <w:right w:val="single" w:sz="4" w:space="0" w:color="auto"/>
            </w:tcBorders>
            <w:shd w:val="clear" w:color="auto" w:fill="auto"/>
            <w:noWrap/>
            <w:vAlign w:val="bottom"/>
            <w:hideMark/>
          </w:tcPr>
          <w:p w14:paraId="3660E996" w14:textId="60D1DB79" w:rsidR="00B036BE" w:rsidRPr="00B036BE" w:rsidRDefault="00B036BE" w:rsidP="00B036BE">
            <w:pPr>
              <w:jc w:val="center"/>
              <w:rPr>
                <w:color w:val="000000"/>
                <w:sz w:val="20"/>
                <w:szCs w:val="20"/>
              </w:rPr>
            </w:pPr>
            <w:r w:rsidRPr="00B036BE">
              <w:rPr>
                <w:color w:val="000000"/>
                <w:sz w:val="20"/>
                <w:szCs w:val="20"/>
              </w:rPr>
              <w:t>9</w:t>
            </w:r>
          </w:p>
        </w:tc>
        <w:tc>
          <w:tcPr>
            <w:tcW w:w="1015" w:type="dxa"/>
            <w:tcBorders>
              <w:top w:val="nil"/>
              <w:left w:val="nil"/>
              <w:bottom w:val="single" w:sz="4" w:space="0" w:color="auto"/>
              <w:right w:val="single" w:sz="4" w:space="0" w:color="auto"/>
            </w:tcBorders>
            <w:shd w:val="clear" w:color="auto" w:fill="auto"/>
            <w:noWrap/>
            <w:vAlign w:val="bottom"/>
            <w:hideMark/>
          </w:tcPr>
          <w:p w14:paraId="3EEDE4F3" w14:textId="52394CE7" w:rsidR="00B036BE" w:rsidRPr="00B036BE" w:rsidRDefault="00B036BE" w:rsidP="00B036BE">
            <w:pPr>
              <w:jc w:val="center"/>
              <w:rPr>
                <w:color w:val="000000"/>
                <w:sz w:val="20"/>
                <w:szCs w:val="20"/>
              </w:rPr>
            </w:pPr>
            <w:r w:rsidRPr="00B036BE">
              <w:rPr>
                <w:color w:val="000000"/>
                <w:sz w:val="20"/>
                <w:szCs w:val="20"/>
              </w:rPr>
              <w:t>409</w:t>
            </w:r>
          </w:p>
        </w:tc>
        <w:tc>
          <w:tcPr>
            <w:tcW w:w="858" w:type="dxa"/>
            <w:tcBorders>
              <w:top w:val="nil"/>
              <w:left w:val="nil"/>
              <w:bottom w:val="single" w:sz="4" w:space="0" w:color="auto"/>
              <w:right w:val="single" w:sz="4" w:space="0" w:color="auto"/>
            </w:tcBorders>
            <w:shd w:val="clear" w:color="auto" w:fill="auto"/>
            <w:noWrap/>
            <w:vAlign w:val="bottom"/>
            <w:hideMark/>
          </w:tcPr>
          <w:p w14:paraId="477526BA" w14:textId="452332C7" w:rsidR="00B036BE" w:rsidRPr="00B036BE" w:rsidRDefault="00B036BE" w:rsidP="00B036BE">
            <w:pPr>
              <w:jc w:val="center"/>
              <w:rPr>
                <w:color w:val="000000"/>
                <w:sz w:val="20"/>
                <w:szCs w:val="20"/>
              </w:rPr>
            </w:pPr>
            <w:r w:rsidRPr="00B036BE">
              <w:rPr>
                <w:color w:val="000000"/>
                <w:sz w:val="20"/>
                <w:szCs w:val="20"/>
              </w:rPr>
              <w:t>-31</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745B8F59" w14:textId="613AA00D" w:rsidR="00B036BE" w:rsidRPr="00B036BE" w:rsidRDefault="00B036BE" w:rsidP="00B036BE">
            <w:pPr>
              <w:jc w:val="center"/>
              <w:rPr>
                <w:color w:val="000000"/>
                <w:sz w:val="20"/>
                <w:szCs w:val="20"/>
              </w:rPr>
            </w:pPr>
            <w:r w:rsidRPr="00B036BE">
              <w:rPr>
                <w:color w:val="000000"/>
                <w:sz w:val="20"/>
                <w:szCs w:val="20"/>
              </w:rPr>
              <w:t>-20</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7974B1B" w14:textId="5AD74BD9" w:rsidR="00B036BE" w:rsidRPr="00B036BE" w:rsidRDefault="00B036BE" w:rsidP="00B036BE">
            <w:pPr>
              <w:jc w:val="center"/>
              <w:rPr>
                <w:color w:val="000000"/>
                <w:sz w:val="20"/>
                <w:szCs w:val="20"/>
              </w:rPr>
            </w:pPr>
            <w:r w:rsidRPr="00B036BE">
              <w:rPr>
                <w:color w:val="000000"/>
                <w:sz w:val="20"/>
                <w:szCs w:val="20"/>
              </w:rPr>
              <w:t>644</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02293BBB" w14:textId="6F6A1CAD" w:rsidR="00B036BE" w:rsidRPr="00B036BE" w:rsidRDefault="00B036BE" w:rsidP="00B036BE">
            <w:pPr>
              <w:jc w:val="center"/>
              <w:rPr>
                <w:color w:val="000000"/>
                <w:sz w:val="20"/>
                <w:szCs w:val="20"/>
              </w:rPr>
            </w:pPr>
            <w:r w:rsidRPr="00B036BE">
              <w:rPr>
                <w:color w:val="000000"/>
                <w:sz w:val="20"/>
                <w:szCs w:val="20"/>
              </w:rPr>
              <w:t>-52</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02E51E39" w14:textId="0AE130C1" w:rsidR="00B036BE" w:rsidRPr="00B036BE" w:rsidRDefault="00B036BE" w:rsidP="00B036BE">
            <w:pPr>
              <w:jc w:val="center"/>
              <w:rPr>
                <w:color w:val="000000"/>
                <w:sz w:val="20"/>
                <w:szCs w:val="20"/>
              </w:rPr>
            </w:pPr>
            <w:r w:rsidRPr="00B036BE">
              <w:rPr>
                <w:color w:val="000000"/>
                <w:sz w:val="20"/>
                <w:szCs w:val="20"/>
              </w:rPr>
              <w:t>-27</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2AC52769" w14:textId="582F27DA" w:rsidR="00B036BE" w:rsidRPr="00B036BE" w:rsidRDefault="00B036BE" w:rsidP="00B036BE">
            <w:pPr>
              <w:jc w:val="center"/>
              <w:rPr>
                <w:color w:val="000000"/>
                <w:sz w:val="20"/>
                <w:szCs w:val="20"/>
              </w:rPr>
            </w:pPr>
            <w:r w:rsidRPr="00B036BE">
              <w:rPr>
                <w:color w:val="000000"/>
                <w:sz w:val="20"/>
                <w:szCs w:val="20"/>
              </w:rPr>
              <w:t>46</w:t>
            </w:r>
          </w:p>
        </w:tc>
      </w:tr>
      <w:tr w:rsidR="00B036BE" w:rsidRPr="00B036BE" w14:paraId="34F59497" w14:textId="77777777" w:rsidTr="002A0B6C">
        <w:trPr>
          <w:trHeight w:val="272"/>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69ABBC5D" w14:textId="77777777" w:rsidR="00B036BE" w:rsidRPr="00B036BE" w:rsidRDefault="00B036BE" w:rsidP="00B036BE">
            <w:pPr>
              <w:jc w:val="center"/>
              <w:rPr>
                <w:color w:val="000000"/>
                <w:sz w:val="20"/>
                <w:szCs w:val="20"/>
              </w:rPr>
            </w:pPr>
            <w:r w:rsidRPr="00B036BE">
              <w:rPr>
                <w:color w:val="000000"/>
                <w:sz w:val="20"/>
                <w:szCs w:val="20"/>
              </w:rPr>
              <w:t>6 ОДК</w:t>
            </w:r>
          </w:p>
        </w:tc>
        <w:tc>
          <w:tcPr>
            <w:tcW w:w="840" w:type="dxa"/>
            <w:tcBorders>
              <w:top w:val="nil"/>
              <w:left w:val="nil"/>
              <w:bottom w:val="single" w:sz="4" w:space="0" w:color="auto"/>
              <w:right w:val="single" w:sz="4" w:space="0" w:color="auto"/>
            </w:tcBorders>
            <w:shd w:val="clear" w:color="auto" w:fill="auto"/>
            <w:noWrap/>
            <w:vAlign w:val="bottom"/>
            <w:hideMark/>
          </w:tcPr>
          <w:p w14:paraId="7C662D13" w14:textId="234FB5CF" w:rsidR="00B036BE" w:rsidRPr="00B036BE" w:rsidRDefault="00B036BE" w:rsidP="00B036BE">
            <w:pPr>
              <w:jc w:val="center"/>
              <w:rPr>
                <w:color w:val="000000"/>
                <w:sz w:val="20"/>
                <w:szCs w:val="20"/>
              </w:rPr>
            </w:pPr>
            <w:r w:rsidRPr="00B036BE">
              <w:rPr>
                <w:color w:val="000000"/>
                <w:sz w:val="20"/>
                <w:szCs w:val="20"/>
              </w:rPr>
              <w:t>15</w:t>
            </w:r>
          </w:p>
        </w:tc>
        <w:tc>
          <w:tcPr>
            <w:tcW w:w="1194" w:type="dxa"/>
            <w:tcBorders>
              <w:top w:val="nil"/>
              <w:left w:val="nil"/>
              <w:bottom w:val="single" w:sz="4" w:space="0" w:color="auto"/>
              <w:right w:val="single" w:sz="4" w:space="0" w:color="auto"/>
            </w:tcBorders>
            <w:shd w:val="clear" w:color="auto" w:fill="auto"/>
            <w:noWrap/>
            <w:vAlign w:val="bottom"/>
            <w:hideMark/>
          </w:tcPr>
          <w:p w14:paraId="76DC2451" w14:textId="6DDDAC83" w:rsidR="00B036BE" w:rsidRPr="00B036BE" w:rsidRDefault="00B036BE" w:rsidP="00B036BE">
            <w:pPr>
              <w:jc w:val="center"/>
              <w:rPr>
                <w:color w:val="000000"/>
                <w:sz w:val="20"/>
                <w:szCs w:val="20"/>
              </w:rPr>
            </w:pPr>
            <w:r w:rsidRPr="00B036BE">
              <w:rPr>
                <w:color w:val="000000"/>
                <w:sz w:val="20"/>
                <w:szCs w:val="20"/>
              </w:rPr>
              <w:t>13</w:t>
            </w:r>
          </w:p>
        </w:tc>
        <w:tc>
          <w:tcPr>
            <w:tcW w:w="1015" w:type="dxa"/>
            <w:tcBorders>
              <w:top w:val="nil"/>
              <w:left w:val="nil"/>
              <w:bottom w:val="single" w:sz="4" w:space="0" w:color="auto"/>
              <w:right w:val="single" w:sz="4" w:space="0" w:color="auto"/>
            </w:tcBorders>
            <w:shd w:val="clear" w:color="auto" w:fill="auto"/>
            <w:noWrap/>
            <w:vAlign w:val="bottom"/>
            <w:hideMark/>
          </w:tcPr>
          <w:p w14:paraId="766A1F59" w14:textId="7B482729" w:rsidR="00B036BE" w:rsidRPr="00B036BE" w:rsidRDefault="00B036BE" w:rsidP="00B036BE">
            <w:pPr>
              <w:jc w:val="center"/>
              <w:rPr>
                <w:color w:val="000000"/>
                <w:sz w:val="20"/>
                <w:szCs w:val="20"/>
              </w:rPr>
            </w:pPr>
            <w:r w:rsidRPr="00B036BE">
              <w:rPr>
                <w:color w:val="000000"/>
                <w:sz w:val="20"/>
                <w:szCs w:val="20"/>
              </w:rPr>
              <w:t>438</w:t>
            </w:r>
          </w:p>
        </w:tc>
        <w:tc>
          <w:tcPr>
            <w:tcW w:w="858" w:type="dxa"/>
            <w:tcBorders>
              <w:top w:val="nil"/>
              <w:left w:val="nil"/>
              <w:bottom w:val="single" w:sz="4" w:space="0" w:color="auto"/>
              <w:right w:val="single" w:sz="4" w:space="0" w:color="auto"/>
            </w:tcBorders>
            <w:shd w:val="clear" w:color="auto" w:fill="auto"/>
            <w:noWrap/>
            <w:vAlign w:val="bottom"/>
            <w:hideMark/>
          </w:tcPr>
          <w:p w14:paraId="60419723" w14:textId="725FCC8A" w:rsidR="00B036BE" w:rsidRPr="00B036BE" w:rsidRDefault="00B036BE" w:rsidP="00B036BE">
            <w:pPr>
              <w:jc w:val="center"/>
              <w:rPr>
                <w:color w:val="000000"/>
                <w:sz w:val="20"/>
                <w:szCs w:val="20"/>
              </w:rPr>
            </w:pPr>
            <w:r w:rsidRPr="00B036BE">
              <w:rPr>
                <w:color w:val="000000"/>
                <w:sz w:val="20"/>
                <w:szCs w:val="20"/>
              </w:rPr>
              <w:t>-19</w:t>
            </w:r>
          </w:p>
        </w:tc>
        <w:tc>
          <w:tcPr>
            <w:tcW w:w="1226" w:type="dxa"/>
            <w:gridSpan w:val="2"/>
            <w:tcBorders>
              <w:top w:val="nil"/>
              <w:left w:val="nil"/>
              <w:bottom w:val="single" w:sz="4" w:space="0" w:color="auto"/>
              <w:right w:val="single" w:sz="4" w:space="0" w:color="auto"/>
            </w:tcBorders>
            <w:shd w:val="clear" w:color="auto" w:fill="auto"/>
            <w:noWrap/>
            <w:vAlign w:val="bottom"/>
            <w:hideMark/>
          </w:tcPr>
          <w:p w14:paraId="4F4FF2A7" w14:textId="211AF302" w:rsidR="00B036BE" w:rsidRPr="00B036BE" w:rsidRDefault="00B036BE" w:rsidP="00B036BE">
            <w:pPr>
              <w:jc w:val="center"/>
              <w:rPr>
                <w:color w:val="000000"/>
                <w:sz w:val="20"/>
                <w:szCs w:val="20"/>
              </w:rPr>
            </w:pPr>
            <w:r w:rsidRPr="00B036BE">
              <w:rPr>
                <w:color w:val="000000"/>
                <w:sz w:val="20"/>
                <w:szCs w:val="20"/>
              </w:rPr>
              <w:t>-15</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91CE1CF" w14:textId="1085B9FF" w:rsidR="00B036BE" w:rsidRPr="00B036BE" w:rsidRDefault="00B036BE" w:rsidP="00B036BE">
            <w:pPr>
              <w:jc w:val="center"/>
              <w:rPr>
                <w:color w:val="000000"/>
                <w:sz w:val="20"/>
                <w:szCs w:val="20"/>
              </w:rPr>
            </w:pPr>
            <w:r w:rsidRPr="00B036BE">
              <w:rPr>
                <w:color w:val="000000"/>
                <w:sz w:val="20"/>
                <w:szCs w:val="20"/>
              </w:rPr>
              <w:t>348</w:t>
            </w:r>
          </w:p>
        </w:tc>
        <w:tc>
          <w:tcPr>
            <w:tcW w:w="851" w:type="dxa"/>
            <w:gridSpan w:val="2"/>
            <w:tcBorders>
              <w:top w:val="nil"/>
              <w:left w:val="nil"/>
              <w:bottom w:val="single" w:sz="4" w:space="0" w:color="auto"/>
              <w:right w:val="single" w:sz="4" w:space="0" w:color="auto"/>
            </w:tcBorders>
            <w:shd w:val="clear" w:color="auto" w:fill="auto"/>
            <w:noWrap/>
            <w:vAlign w:val="bottom"/>
            <w:hideMark/>
          </w:tcPr>
          <w:p w14:paraId="740FA6AD" w14:textId="54DB1D78" w:rsidR="00B036BE" w:rsidRPr="00B036BE" w:rsidRDefault="00B036BE" w:rsidP="00B036BE">
            <w:pPr>
              <w:jc w:val="center"/>
              <w:rPr>
                <w:color w:val="000000"/>
                <w:sz w:val="20"/>
                <w:szCs w:val="20"/>
              </w:rPr>
            </w:pPr>
            <w:r w:rsidRPr="00B036BE">
              <w:rPr>
                <w:color w:val="000000"/>
                <w:sz w:val="20"/>
                <w:szCs w:val="20"/>
              </w:rPr>
              <w:t>-29</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77A2AF1" w14:textId="7C18003A" w:rsidR="00B036BE" w:rsidRPr="00B036BE" w:rsidRDefault="00B036BE" w:rsidP="00B036BE">
            <w:pPr>
              <w:jc w:val="center"/>
              <w:rPr>
                <w:color w:val="000000"/>
                <w:sz w:val="20"/>
                <w:szCs w:val="20"/>
              </w:rPr>
            </w:pPr>
            <w:r w:rsidRPr="00B036BE">
              <w:rPr>
                <w:color w:val="000000"/>
                <w:sz w:val="20"/>
                <w:szCs w:val="20"/>
              </w:rPr>
              <w:t>-25</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44CE2F33" w14:textId="2418BD39" w:rsidR="00B036BE" w:rsidRPr="00B036BE" w:rsidRDefault="00B036BE" w:rsidP="00B036BE">
            <w:pPr>
              <w:jc w:val="center"/>
              <w:rPr>
                <w:color w:val="000000"/>
                <w:sz w:val="20"/>
                <w:szCs w:val="20"/>
              </w:rPr>
            </w:pPr>
            <w:r w:rsidRPr="00B036BE">
              <w:rPr>
                <w:color w:val="000000"/>
                <w:sz w:val="20"/>
                <w:szCs w:val="20"/>
              </w:rPr>
              <w:t>-9</w:t>
            </w:r>
          </w:p>
        </w:tc>
      </w:tr>
    </w:tbl>
    <w:p w14:paraId="2A456309" w14:textId="52554D3F" w:rsidR="00697687" w:rsidRPr="00CD7296" w:rsidRDefault="002A0B6C" w:rsidP="00A265F0">
      <w:pPr>
        <w:pStyle w:val="afb"/>
        <w:spacing w:before="0" w:beforeAutospacing="0" w:after="0" w:afterAutospacing="0"/>
        <w:rPr>
          <w:position w:val="-4"/>
        </w:rPr>
      </w:pPr>
      <w:r>
        <w:t xml:space="preserve">Гипан и гипан+СГ </w:t>
      </w:r>
      <w:r w:rsidR="009E04A9">
        <w:t>подавляли</w:t>
      </w:r>
      <w:r>
        <w:t xml:space="preserve"> БД в загрязненн</w:t>
      </w:r>
      <w:r>
        <w:t>ой почве</w:t>
      </w:r>
      <w:r>
        <w:t xml:space="preserve">, при этом во всех вариантах </w:t>
      </w:r>
      <w:r w:rsidR="009E04A9">
        <w:t xml:space="preserve">снижался </w:t>
      </w:r>
      <w:r w:rsidRPr="00980684">
        <w:rPr>
          <w:i/>
          <w:iCs/>
        </w:rPr>
        <w:t>q</w:t>
      </w:r>
      <w:r w:rsidRPr="00980684">
        <w:t>CO</w:t>
      </w:r>
      <w:r w:rsidRPr="00980684">
        <w:rPr>
          <w:position w:val="-4"/>
        </w:rPr>
        <w:t>2</w:t>
      </w:r>
      <w:r w:rsidR="009E04A9" w:rsidRPr="009E04A9">
        <w:t xml:space="preserve"> </w:t>
      </w:r>
      <w:r w:rsidR="009E04A9">
        <w:t>(</w:t>
      </w:r>
      <w:r w:rsidR="009E04A9">
        <w:t>на 20-52%</w:t>
      </w:r>
      <w:r w:rsidR="009E04A9">
        <w:t>)</w:t>
      </w:r>
      <w:r>
        <w:t xml:space="preserve">, </w:t>
      </w:r>
      <w:r w:rsidR="009E04A9">
        <w:t>Положительный эффект препарата мицелия заметен лишь при наибольшем загрязнении (6 ОДК) .</w:t>
      </w:r>
      <w:r w:rsidR="00697687" w:rsidRPr="00CD7296">
        <w:rPr>
          <w:position w:val="-4"/>
        </w:rPr>
        <w:t xml:space="preserve"> </w:t>
      </w:r>
    </w:p>
    <w:p w14:paraId="57FC7E7F" w14:textId="77F86105" w:rsidR="00CB06DD" w:rsidRDefault="009E04A9" w:rsidP="00A265F0">
      <w:pPr>
        <w:pStyle w:val="afb"/>
        <w:spacing w:before="0" w:beforeAutospacing="0" w:after="0" w:afterAutospacing="0"/>
        <w:rPr>
          <w:position w:val="-4"/>
        </w:rPr>
      </w:pPr>
      <w:r>
        <w:rPr>
          <w:position w:val="-4"/>
        </w:rPr>
        <w:t xml:space="preserve">Таким образом, продемонстрирована высокая </w:t>
      </w:r>
      <w:r w:rsidR="00CB06DD">
        <w:rPr>
          <w:position w:val="-4"/>
        </w:rPr>
        <w:t xml:space="preserve">детоксицирующая </w:t>
      </w:r>
      <w:r>
        <w:rPr>
          <w:position w:val="-4"/>
        </w:rPr>
        <w:t xml:space="preserve">способность гипана, которая несущественно менялась при добавке к нему СГ. </w:t>
      </w:r>
      <w:r w:rsidR="00CB06DD">
        <w:rPr>
          <w:position w:val="-4"/>
        </w:rPr>
        <w:t xml:space="preserve">Динамика микробных показателей под воздействием препарата мицелия свидетельствует, </w:t>
      </w:r>
      <w:r w:rsidR="009A0858">
        <w:rPr>
          <w:position w:val="-4"/>
        </w:rPr>
        <w:t>скорее всего</w:t>
      </w:r>
      <w:r w:rsidR="00CB06DD">
        <w:rPr>
          <w:position w:val="-4"/>
        </w:rPr>
        <w:t>, о развитии грибной биомассы, которая выступает эффективным ремедиантом лишь при высоком (6 ОДК) уровне загрязнения.</w:t>
      </w:r>
    </w:p>
    <w:p w14:paraId="33D917D1" w14:textId="77777777" w:rsidR="00CB06DD" w:rsidRDefault="00CB06DD" w:rsidP="00A265F0">
      <w:pPr>
        <w:pStyle w:val="afb"/>
        <w:spacing w:before="0" w:beforeAutospacing="0" w:after="0" w:afterAutospacing="0"/>
        <w:rPr>
          <w:position w:val="-4"/>
        </w:rPr>
      </w:pPr>
    </w:p>
    <w:p w14:paraId="0C1FEAFF" w14:textId="77777777" w:rsidR="00576B1B" w:rsidRPr="009A0858" w:rsidRDefault="00576B1B" w:rsidP="00A265F0">
      <w:pPr>
        <w:pStyle w:val="afb"/>
        <w:spacing w:before="0" w:beforeAutospacing="0" w:after="0" w:afterAutospacing="0"/>
        <w:rPr>
          <w:position w:val="-4"/>
        </w:rPr>
      </w:pPr>
    </w:p>
    <w:p w14:paraId="59FCB422" w14:textId="77777777" w:rsidR="00DF7741" w:rsidRPr="00CB06DD" w:rsidRDefault="006038E7" w:rsidP="00576B1B">
      <w:pPr>
        <w:pStyle w:val="afb"/>
        <w:spacing w:before="0" w:beforeAutospacing="0" w:after="0" w:afterAutospacing="0"/>
        <w:jc w:val="center"/>
        <w:rPr>
          <w:b/>
          <w:bCs/>
          <w:strike/>
          <w:position w:val="-4"/>
          <w:lang w:val="en-US"/>
        </w:rPr>
      </w:pPr>
      <w:r w:rsidRPr="00CB06DD">
        <w:rPr>
          <w:b/>
          <w:bCs/>
          <w:strike/>
          <w:position w:val="-4"/>
        </w:rPr>
        <w:t>Литература</w:t>
      </w:r>
    </w:p>
    <w:p w14:paraId="2161C9FD" w14:textId="00DAD52F" w:rsidR="00DF7741" w:rsidRPr="00CB06DD" w:rsidRDefault="006038E7" w:rsidP="00CD7296">
      <w:pPr>
        <w:pStyle w:val="afb"/>
        <w:spacing w:before="0" w:beforeAutospacing="0" w:after="0" w:afterAutospacing="0"/>
        <w:rPr>
          <w:strike/>
          <w:position w:val="-4"/>
        </w:rPr>
      </w:pPr>
      <w:r w:rsidRPr="00CB06DD">
        <w:rPr>
          <w:strike/>
          <w:position w:val="-4"/>
          <w:lang w:val="en-US"/>
        </w:rPr>
        <w:lastRenderedPageBreak/>
        <w:t xml:space="preserve">1. </w:t>
      </w:r>
      <w:r w:rsidR="00E046A3" w:rsidRPr="00CB06DD">
        <w:rPr>
          <w:strike/>
          <w:position w:val="-4"/>
          <w:lang w:val="en-US"/>
        </w:rPr>
        <w:t xml:space="preserve">van der Heijden M.G.A., Bardgett R.D., van Straalen N.M. The unseen majority: soil microbes as drivers of plant diversity and productivity in terrestrial ecosystems // Ecology Letters. </w:t>
      </w:r>
      <w:r w:rsidR="00E046A3" w:rsidRPr="00CB06DD">
        <w:rPr>
          <w:strike/>
          <w:position w:val="-4"/>
        </w:rPr>
        <w:t xml:space="preserve">2008. V. 11. P. 296–310. </w:t>
      </w:r>
    </w:p>
    <w:p w14:paraId="663123D2" w14:textId="39874FBD" w:rsidR="00FC29C4" w:rsidRPr="00CB06DD" w:rsidRDefault="00FC29C4" w:rsidP="00CD7296">
      <w:pPr>
        <w:pStyle w:val="afb"/>
        <w:spacing w:before="0" w:beforeAutospacing="0" w:after="0" w:afterAutospacing="0"/>
        <w:rPr>
          <w:strike/>
          <w:position w:val="-4"/>
          <w:lang w:val="en-US"/>
        </w:rPr>
      </w:pPr>
      <w:r w:rsidRPr="00CB06DD">
        <w:rPr>
          <w:strike/>
          <w:position w:val="-4"/>
        </w:rPr>
        <w:t xml:space="preserve">2. Благодатская  Е.В., Ананьева Н.Д. Оценкаустойчивости микробных сообществ в процессе разложения поллютантов в почве // Почвоведение. </w:t>
      </w:r>
      <w:r w:rsidRPr="00CB06DD">
        <w:rPr>
          <w:strike/>
          <w:position w:val="-4"/>
          <w:lang w:val="en-US"/>
        </w:rPr>
        <w:t xml:space="preserve">1996. No 11. </w:t>
      </w:r>
      <w:r w:rsidRPr="00CB06DD">
        <w:rPr>
          <w:strike/>
          <w:position w:val="-4"/>
        </w:rPr>
        <w:t>С</w:t>
      </w:r>
      <w:r w:rsidRPr="00CB06DD">
        <w:rPr>
          <w:strike/>
          <w:position w:val="-4"/>
          <w:lang w:val="en-US"/>
        </w:rPr>
        <w:t>. 1341–1346.</w:t>
      </w:r>
    </w:p>
    <w:p w14:paraId="170AE067" w14:textId="29C25F1E" w:rsidR="00FC29C4" w:rsidRPr="00CB06DD" w:rsidRDefault="00FC29C4" w:rsidP="00CD7296">
      <w:pPr>
        <w:pStyle w:val="afb"/>
        <w:spacing w:before="0" w:beforeAutospacing="0" w:after="0" w:afterAutospacing="0"/>
        <w:rPr>
          <w:strike/>
          <w:position w:val="-4"/>
          <w:lang w:val="en-US"/>
        </w:rPr>
      </w:pPr>
      <w:r w:rsidRPr="00CB06DD">
        <w:rPr>
          <w:strike/>
          <w:position w:val="-4"/>
          <w:lang w:val="en-US"/>
        </w:rPr>
        <w:t>3. Ritz K., Black H.I.J., Campbell C.D., Harris J.A., Wood C. Selecting biological indicators for monitoring soils: A framework for balancing scientific and technical opinion to assist policy development // Ecological Indicators. 2009. V. 9. P. 1212–1221.</w:t>
      </w:r>
    </w:p>
    <w:p w14:paraId="20C7BD2B" w14:textId="126A37CE" w:rsidR="00FC29C4" w:rsidRPr="00CB06DD" w:rsidRDefault="00FC29C4" w:rsidP="00CD7296">
      <w:pPr>
        <w:pStyle w:val="afb"/>
        <w:spacing w:before="0" w:beforeAutospacing="0" w:after="0" w:afterAutospacing="0"/>
        <w:rPr>
          <w:strike/>
          <w:position w:val="-4"/>
        </w:rPr>
      </w:pPr>
      <w:r w:rsidRPr="00CB06DD">
        <w:rPr>
          <w:strike/>
          <w:position w:val="-4"/>
          <w:lang w:val="en-US"/>
        </w:rPr>
        <w:t xml:space="preserve">4. Bünemann E.K., Bongiorno G., Bai Z., Creamer R., Deyn G., Goede R., Fleskens L., Geissen L., Kuyper T., Mäder P., Pulleman M., Sukkel W., van Groenigen W., Brussaard L. Soil quality – A critical review // Soil Bi- ology and Biochemistry. </w:t>
      </w:r>
      <w:r w:rsidRPr="00CB06DD">
        <w:rPr>
          <w:strike/>
          <w:position w:val="-4"/>
        </w:rPr>
        <w:t>2018. V. 120. P. 105–125.</w:t>
      </w:r>
    </w:p>
    <w:p w14:paraId="60D2A0C9" w14:textId="77777777" w:rsidR="00DF7741" w:rsidRPr="00CB06DD" w:rsidRDefault="00DF7741" w:rsidP="00A265F0">
      <w:pPr>
        <w:rPr>
          <w:strike/>
          <w:lang w:val="en-US"/>
        </w:rPr>
      </w:pPr>
    </w:p>
    <w:sectPr w:rsidR="00DF7741" w:rsidRPr="00CB06DD">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0965" w14:textId="77777777" w:rsidR="00DE16AA" w:rsidRDefault="00DE16AA">
      <w:r>
        <w:separator/>
      </w:r>
    </w:p>
  </w:endnote>
  <w:endnote w:type="continuationSeparator" w:id="0">
    <w:p w14:paraId="2B3BA3AB" w14:textId="77777777" w:rsidR="00DE16AA" w:rsidRDefault="00DE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9FB75" w14:textId="77777777" w:rsidR="00DE16AA" w:rsidRDefault="00DE16AA">
      <w:r>
        <w:separator/>
      </w:r>
    </w:p>
  </w:footnote>
  <w:footnote w:type="continuationSeparator" w:id="0">
    <w:p w14:paraId="34B63455" w14:textId="77777777" w:rsidR="00DE16AA" w:rsidRDefault="00DE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18154E"/>
    <w:multiLevelType w:val="multilevel"/>
    <w:tmpl w:val="F53EE0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329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41"/>
    <w:rsid w:val="0006469E"/>
    <w:rsid w:val="00073C7D"/>
    <w:rsid w:val="001904A2"/>
    <w:rsid w:val="001C3E7C"/>
    <w:rsid w:val="00283BC1"/>
    <w:rsid w:val="002A0B6C"/>
    <w:rsid w:val="003B61B1"/>
    <w:rsid w:val="0051553A"/>
    <w:rsid w:val="00576B1B"/>
    <w:rsid w:val="005B4BF6"/>
    <w:rsid w:val="006038E7"/>
    <w:rsid w:val="00645683"/>
    <w:rsid w:val="00696E29"/>
    <w:rsid w:val="00697687"/>
    <w:rsid w:val="007266B1"/>
    <w:rsid w:val="00772B28"/>
    <w:rsid w:val="007E62F4"/>
    <w:rsid w:val="008A5DC8"/>
    <w:rsid w:val="00957AC3"/>
    <w:rsid w:val="00965138"/>
    <w:rsid w:val="00980684"/>
    <w:rsid w:val="009A0858"/>
    <w:rsid w:val="009E04A9"/>
    <w:rsid w:val="00A265F0"/>
    <w:rsid w:val="00A61215"/>
    <w:rsid w:val="00A95E58"/>
    <w:rsid w:val="00AA48D2"/>
    <w:rsid w:val="00B036BE"/>
    <w:rsid w:val="00B9191B"/>
    <w:rsid w:val="00BF70CE"/>
    <w:rsid w:val="00C30A82"/>
    <w:rsid w:val="00CA7840"/>
    <w:rsid w:val="00CB06DD"/>
    <w:rsid w:val="00CD7296"/>
    <w:rsid w:val="00D05F26"/>
    <w:rsid w:val="00DA55FB"/>
    <w:rsid w:val="00DE16AA"/>
    <w:rsid w:val="00DF7741"/>
    <w:rsid w:val="00E046A3"/>
    <w:rsid w:val="00E52B57"/>
    <w:rsid w:val="00EA73C0"/>
    <w:rsid w:val="00F54B4C"/>
    <w:rsid w:val="00FC2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DD49"/>
  <w15:docId w15:val="{C52AD121-1D25-4544-B74B-E93C7D19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A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line="276" w:lineRule="auto"/>
      <w:outlineLvl w:val="0"/>
    </w:pPr>
    <w:rPr>
      <w:rFonts w:ascii="Liberation Sans" w:eastAsia="Liberation Sans" w:hAnsi="Liberation Sans" w:cs="Liberation Sans"/>
      <w:sz w:val="40"/>
      <w:szCs w:val="40"/>
      <w:lang w:eastAsia="en-US"/>
    </w:rPr>
  </w:style>
  <w:style w:type="paragraph" w:styleId="2">
    <w:name w:val="heading 2"/>
    <w:basedOn w:val="1"/>
    <w:next w:val="a"/>
    <w:link w:val="20"/>
    <w:uiPriority w:val="9"/>
    <w:unhideWhenUsed/>
    <w:qFormat/>
    <w:pPr>
      <w:outlineLvl w:val="1"/>
    </w:pPr>
  </w:style>
  <w:style w:type="paragraph" w:styleId="3">
    <w:name w:val="heading 3"/>
    <w:basedOn w:val="a"/>
    <w:next w:val="a"/>
    <w:link w:val="30"/>
    <w:uiPriority w:val="9"/>
    <w:unhideWhenUsed/>
    <w:qFormat/>
    <w:pPr>
      <w:keepNext/>
      <w:keepLines/>
      <w:spacing w:before="320" w:after="200" w:line="276" w:lineRule="auto"/>
      <w:outlineLvl w:val="2"/>
    </w:pPr>
    <w:rPr>
      <w:rFonts w:ascii="Liberation Sans" w:eastAsia="Arial" w:hAnsi="Liberation Sans" w:cs="Liberation Sans"/>
      <w:sz w:val="30"/>
      <w:szCs w:val="30"/>
      <w:lang w:eastAsia="en-US"/>
    </w:rPr>
  </w:style>
  <w:style w:type="paragraph" w:styleId="4">
    <w:name w:val="heading 4"/>
    <w:basedOn w:val="a"/>
    <w:next w:val="a"/>
    <w:link w:val="40"/>
    <w:uiPriority w:val="9"/>
    <w:unhideWhenUsed/>
    <w:qFormat/>
    <w:pPr>
      <w:keepNext/>
      <w:keepLines/>
      <w:spacing w:before="320" w:after="200" w:line="276" w:lineRule="auto"/>
      <w:outlineLvl w:val="3"/>
    </w:pPr>
    <w:rPr>
      <w:rFonts w:ascii="Liberation Sans" w:eastAsia="Liberation Sans" w:hAnsi="Liberation Sans" w:cs="Liberation Sans"/>
      <w:b/>
      <w:bCs/>
      <w:sz w:val="26"/>
      <w:szCs w:val="26"/>
      <w:lang w:eastAsia="en-US"/>
    </w:rPr>
  </w:style>
  <w:style w:type="paragraph" w:styleId="5">
    <w:name w:val="heading 5"/>
    <w:basedOn w:val="a"/>
    <w:next w:val="a"/>
    <w:link w:val="50"/>
    <w:uiPriority w:val="9"/>
    <w:unhideWhenUsed/>
    <w:qFormat/>
    <w:pPr>
      <w:keepNext/>
      <w:keepLines/>
      <w:spacing w:before="320" w:after="200" w:line="276" w:lineRule="auto"/>
      <w:outlineLvl w:val="4"/>
    </w:pPr>
    <w:rPr>
      <w:rFonts w:ascii="Liberation Sans" w:eastAsia="Liberation Sans" w:hAnsi="Liberation Sans" w:cs="Liberation Sans"/>
      <w:b/>
      <w:bCs/>
      <w:lang w:eastAsia="en-US"/>
    </w:rPr>
  </w:style>
  <w:style w:type="paragraph" w:styleId="6">
    <w:name w:val="heading 6"/>
    <w:basedOn w:val="a"/>
    <w:next w:val="a"/>
    <w:link w:val="60"/>
    <w:uiPriority w:val="9"/>
    <w:unhideWhenUsed/>
    <w:qFormat/>
    <w:pPr>
      <w:keepNext/>
      <w:keepLines/>
      <w:spacing w:before="320" w:after="200" w:line="276" w:lineRule="auto"/>
      <w:outlineLvl w:val="5"/>
    </w:pPr>
    <w:rPr>
      <w:rFonts w:ascii="Liberation Sans" w:eastAsia="Liberation Sans" w:hAnsi="Liberation Sans" w:cs="Liberation Sans"/>
      <w:b/>
      <w:bCs/>
      <w:sz w:val="22"/>
      <w:szCs w:val="22"/>
      <w:lang w:eastAsia="en-US"/>
    </w:rPr>
  </w:style>
  <w:style w:type="paragraph" w:styleId="7">
    <w:name w:val="heading 7"/>
    <w:basedOn w:val="a"/>
    <w:next w:val="a"/>
    <w:link w:val="70"/>
    <w:uiPriority w:val="9"/>
    <w:unhideWhenUsed/>
    <w:qFormat/>
    <w:pPr>
      <w:keepNext/>
      <w:keepLines/>
      <w:spacing w:before="320" w:after="200" w:line="276" w:lineRule="auto"/>
      <w:outlineLvl w:val="6"/>
    </w:pPr>
    <w:rPr>
      <w:rFonts w:ascii="Liberation Sans" w:eastAsia="Liberation Sans" w:hAnsi="Liberation Sans" w:cs="Liberation Sans"/>
      <w:b/>
      <w:bCs/>
      <w:i/>
      <w:iCs/>
      <w:sz w:val="22"/>
      <w:szCs w:val="22"/>
      <w:lang w:eastAsia="en-US"/>
    </w:rPr>
  </w:style>
  <w:style w:type="paragraph" w:styleId="8">
    <w:name w:val="heading 8"/>
    <w:basedOn w:val="a"/>
    <w:next w:val="a"/>
    <w:link w:val="80"/>
    <w:uiPriority w:val="9"/>
    <w:unhideWhenUsed/>
    <w:qFormat/>
    <w:pPr>
      <w:keepNext/>
      <w:keepLines/>
      <w:spacing w:before="320" w:after="200" w:line="276" w:lineRule="auto"/>
      <w:outlineLvl w:val="7"/>
    </w:pPr>
    <w:rPr>
      <w:rFonts w:ascii="Liberation Sans" w:eastAsia="Liberation Sans" w:hAnsi="Liberation Sans" w:cs="Liberation Sans"/>
      <w:i/>
      <w:iCs/>
      <w:sz w:val="22"/>
      <w:szCs w:val="22"/>
      <w:lang w:eastAsia="en-US"/>
    </w:rPr>
  </w:style>
  <w:style w:type="paragraph" w:styleId="9">
    <w:name w:val="heading 9"/>
    <w:basedOn w:val="a"/>
    <w:next w:val="a"/>
    <w:link w:val="90"/>
    <w:uiPriority w:val="9"/>
    <w:unhideWhenUsed/>
    <w:qFormat/>
    <w:pPr>
      <w:keepNext/>
      <w:keepLines/>
      <w:spacing w:before="320" w:after="200" w:line="276" w:lineRule="auto"/>
      <w:outlineLvl w:val="8"/>
    </w:pPr>
    <w:rPr>
      <w:rFonts w:ascii="Liberation Sans" w:eastAsia="Liberation Sans" w:hAnsi="Liberation Sans" w:cs="Liberation Sans"/>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Liberation Sans" w:eastAsia="Liberation Sans" w:hAnsi="Liberation Sans" w:cs="Liberation Sans"/>
    </w:rPr>
  </w:style>
  <w:style w:type="character" w:customStyle="1" w:styleId="20">
    <w:name w:val="Заголовок 2 Знак"/>
    <w:link w:val="2"/>
    <w:uiPriority w:val="9"/>
    <w:rPr>
      <w:rFonts w:ascii="Liberation Sans" w:eastAsia="Liberation Sans" w:hAnsi="Liberation Sans" w:cs="Liberation Sans"/>
      <w:sz w:val="34"/>
    </w:rPr>
  </w:style>
  <w:style w:type="character" w:customStyle="1" w:styleId="30">
    <w:name w:val="Заголовок 3 Знак"/>
    <w:link w:val="3"/>
    <w:uiPriority w:val="9"/>
    <w:rPr>
      <w:rFonts w:ascii="Liberation Sans" w:hAnsi="Liberation Sans" w:cs="Liberation Sans"/>
    </w:rPr>
  </w:style>
  <w:style w:type="character" w:customStyle="1" w:styleId="40">
    <w:name w:val="Заголовок 4 Знак"/>
    <w:link w:val="4"/>
    <w:uiPriority w:val="9"/>
    <w:rPr>
      <w:rFonts w:ascii="Liberation Sans" w:eastAsia="Liberation Sans" w:hAnsi="Liberation Sans" w:cs="Liberation Sans"/>
    </w:rPr>
  </w:style>
  <w:style w:type="character" w:customStyle="1" w:styleId="50">
    <w:name w:val="Заголовок 5 Знак"/>
    <w:link w:val="5"/>
    <w:uiPriority w:val="9"/>
    <w:rPr>
      <w:rFonts w:ascii="Liberation Sans" w:eastAsia="Liberation Sans" w:hAnsi="Liberation Sans" w:cs="Liberation Sans"/>
    </w:rPr>
  </w:style>
  <w:style w:type="character" w:customStyle="1" w:styleId="60">
    <w:name w:val="Заголовок 6 Знак"/>
    <w:link w:val="6"/>
    <w:uiPriority w:val="9"/>
    <w:rPr>
      <w:rFonts w:ascii="Liberation Sans" w:eastAsia="Liberation Sans" w:hAnsi="Liberation Sans" w:cs="Liberation Sans"/>
    </w:rPr>
  </w:style>
  <w:style w:type="character" w:customStyle="1" w:styleId="70">
    <w:name w:val="Заголовок 7 Знак"/>
    <w:link w:val="7"/>
    <w:uiPriority w:val="9"/>
    <w:rPr>
      <w:rFonts w:ascii="Liberation Sans" w:eastAsia="Liberation Sans" w:hAnsi="Liberation Sans" w:cs="Liberation Sans"/>
    </w:rPr>
  </w:style>
  <w:style w:type="character" w:customStyle="1" w:styleId="80">
    <w:name w:val="Заголовок 8 Знак"/>
    <w:link w:val="8"/>
    <w:uiPriority w:val="9"/>
    <w:rPr>
      <w:rFonts w:ascii="Liberation Sans" w:eastAsia="Liberation Sans" w:hAnsi="Liberation Sans" w:cs="Liberation Sans"/>
    </w:rPr>
  </w:style>
  <w:style w:type="character" w:customStyle="1" w:styleId="90">
    <w:name w:val="Заголовок 9 Знак"/>
    <w:link w:val="9"/>
    <w:uiPriority w:val="9"/>
    <w:rPr>
      <w:rFonts w:ascii="Liberation Sans" w:eastAsia="Liberation Sans" w:hAnsi="Liberation Sans" w:cs="Liberation Sans"/>
    </w:rPr>
  </w:style>
  <w:style w:type="paragraph" w:styleId="a3">
    <w:name w:val="Title"/>
    <w:basedOn w:val="a"/>
    <w:next w:val="a"/>
    <w:link w:val="a4"/>
    <w:uiPriority w:val="10"/>
    <w:qFormat/>
    <w:pPr>
      <w:spacing w:before="300" w:after="200" w:line="276" w:lineRule="auto"/>
      <w:contextualSpacing/>
    </w:pPr>
    <w:rPr>
      <w:rFonts w:ascii="Liberation Sans" w:eastAsia="Liberation Sans" w:hAnsi="Liberation Sans" w:cs="Liberation Sans"/>
      <w:sz w:val="48"/>
      <w:szCs w:val="48"/>
      <w:lang w:eastAsia="en-US"/>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line="276" w:lineRule="auto"/>
    </w:pPr>
    <w:rPr>
      <w:rFonts w:ascii="Liberation Sans" w:eastAsia="Liberation Sans" w:hAnsi="Liberation Sans" w:cs="Liberation Sans"/>
      <w:lang w:eastAsia="en-US"/>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spacing w:after="200" w:line="276" w:lineRule="auto"/>
      <w:ind w:left="720" w:right="720"/>
    </w:pPr>
    <w:rPr>
      <w:rFonts w:ascii="Liberation Sans" w:eastAsia="Liberation Sans" w:hAnsi="Liberation Sans" w:cs="Liberation Sans"/>
      <w:i/>
      <w:sz w:val="20"/>
      <w:szCs w:val="20"/>
      <w:lang w:eastAsia="en-US"/>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Liberation Sans" w:eastAsia="Liberation Sans" w:hAnsi="Liberation Sans" w:cs="Liberation Sans"/>
      <w:i/>
      <w:sz w:val="20"/>
      <w:szCs w:val="20"/>
      <w:lang w:eastAsia="en-US"/>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rPr>
      <w:rFonts w:ascii="Liberation Sans" w:eastAsia="Liberation Sans" w:hAnsi="Liberation Sans" w:cs="Liberation Sans"/>
      <w:sz w:val="20"/>
      <w:szCs w:val="20"/>
      <w:lang w:eastAsia="en-US"/>
    </w:r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pPr>
    <w:rPr>
      <w:rFonts w:ascii="Liberation Sans" w:eastAsia="Liberation Sans" w:hAnsi="Liberation Sans" w:cs="Liberation Sans"/>
      <w:sz w:val="20"/>
      <w:szCs w:val="20"/>
      <w:lang w:eastAsia="en-US"/>
    </w:rPr>
  </w:style>
  <w:style w:type="character" w:customStyle="1" w:styleId="FooterChar">
    <w:name w:val="Footer Char"/>
    <w:uiPriority w:val="99"/>
  </w:style>
  <w:style w:type="paragraph" w:styleId="ad">
    <w:name w:val="caption"/>
    <w:basedOn w:val="a"/>
    <w:next w:val="a"/>
    <w:uiPriority w:val="35"/>
    <w:semiHidden/>
    <w:unhideWhenUsed/>
    <w:qFormat/>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uiPriority w:val="99"/>
    <w:unhideWhenUsed/>
    <w:rPr>
      <w:color w:val="0563C1" w:themeColor="hyperlink"/>
      <w:u w:val="single"/>
    </w:rPr>
  </w:style>
  <w:style w:type="paragraph" w:styleId="af0">
    <w:name w:val="footnote text"/>
    <w:basedOn w:val="a"/>
    <w:link w:val="af1"/>
    <w:uiPriority w:val="99"/>
    <w:semiHidden/>
    <w:unhideWhenUsed/>
    <w:pPr>
      <w:spacing w:after="40"/>
    </w:pPr>
    <w:rPr>
      <w:rFonts w:ascii="Liberation Sans" w:eastAsia="Liberation Sans" w:hAnsi="Liberation Sans" w:cs="Liberation Sans"/>
      <w:sz w:val="18"/>
      <w:szCs w:val="20"/>
      <w:lang w:eastAsia="en-US"/>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line="276" w:lineRule="auto"/>
    </w:pPr>
    <w:rPr>
      <w:rFonts w:ascii="Liberation Sans" w:eastAsia="Liberation Sans" w:hAnsi="Liberation Sans" w:cs="Liberation Sans"/>
      <w:sz w:val="20"/>
      <w:szCs w:val="20"/>
      <w:lang w:eastAsia="en-US"/>
    </w:rPr>
  </w:style>
  <w:style w:type="paragraph" w:styleId="23">
    <w:name w:val="toc 2"/>
    <w:basedOn w:val="a"/>
    <w:next w:val="a"/>
    <w:uiPriority w:val="39"/>
    <w:unhideWhenUsed/>
    <w:pPr>
      <w:spacing w:after="57" w:line="276" w:lineRule="auto"/>
      <w:ind w:left="283"/>
    </w:pPr>
    <w:rPr>
      <w:rFonts w:ascii="Liberation Sans" w:eastAsia="Liberation Sans" w:hAnsi="Liberation Sans" w:cs="Liberation Sans"/>
      <w:sz w:val="20"/>
      <w:szCs w:val="20"/>
      <w:lang w:eastAsia="en-US"/>
    </w:rPr>
  </w:style>
  <w:style w:type="paragraph" w:styleId="32">
    <w:name w:val="toc 3"/>
    <w:basedOn w:val="a"/>
    <w:next w:val="a"/>
    <w:uiPriority w:val="39"/>
    <w:unhideWhenUsed/>
    <w:pPr>
      <w:spacing w:after="57" w:line="276" w:lineRule="auto"/>
      <w:ind w:left="567"/>
    </w:pPr>
    <w:rPr>
      <w:rFonts w:ascii="Liberation Sans" w:eastAsia="Liberation Sans" w:hAnsi="Liberation Sans" w:cs="Liberation Sans"/>
      <w:sz w:val="20"/>
      <w:szCs w:val="20"/>
      <w:lang w:eastAsia="en-US"/>
    </w:rPr>
  </w:style>
  <w:style w:type="paragraph" w:styleId="42">
    <w:name w:val="toc 4"/>
    <w:basedOn w:val="a"/>
    <w:next w:val="a"/>
    <w:uiPriority w:val="39"/>
    <w:unhideWhenUsed/>
    <w:pPr>
      <w:spacing w:after="57" w:line="276" w:lineRule="auto"/>
      <w:ind w:left="850"/>
    </w:pPr>
    <w:rPr>
      <w:rFonts w:ascii="Liberation Sans" w:eastAsia="Liberation Sans" w:hAnsi="Liberation Sans" w:cs="Liberation Sans"/>
      <w:sz w:val="20"/>
      <w:szCs w:val="20"/>
      <w:lang w:eastAsia="en-US"/>
    </w:rPr>
  </w:style>
  <w:style w:type="paragraph" w:styleId="52">
    <w:name w:val="toc 5"/>
    <w:basedOn w:val="a"/>
    <w:next w:val="a"/>
    <w:uiPriority w:val="39"/>
    <w:unhideWhenUsed/>
    <w:pPr>
      <w:spacing w:after="57" w:line="276" w:lineRule="auto"/>
      <w:ind w:left="1134"/>
    </w:pPr>
    <w:rPr>
      <w:rFonts w:ascii="Liberation Sans" w:eastAsia="Liberation Sans" w:hAnsi="Liberation Sans" w:cs="Liberation Sans"/>
      <w:sz w:val="20"/>
      <w:szCs w:val="20"/>
      <w:lang w:eastAsia="en-US"/>
    </w:rPr>
  </w:style>
  <w:style w:type="paragraph" w:styleId="61">
    <w:name w:val="toc 6"/>
    <w:basedOn w:val="a"/>
    <w:next w:val="a"/>
    <w:uiPriority w:val="39"/>
    <w:unhideWhenUsed/>
    <w:pPr>
      <w:spacing w:after="57" w:line="276" w:lineRule="auto"/>
      <w:ind w:left="1417"/>
    </w:pPr>
    <w:rPr>
      <w:rFonts w:ascii="Liberation Sans" w:eastAsia="Liberation Sans" w:hAnsi="Liberation Sans" w:cs="Liberation Sans"/>
      <w:sz w:val="20"/>
      <w:szCs w:val="20"/>
      <w:lang w:eastAsia="en-US"/>
    </w:rPr>
  </w:style>
  <w:style w:type="paragraph" w:styleId="71">
    <w:name w:val="toc 7"/>
    <w:basedOn w:val="a"/>
    <w:next w:val="a"/>
    <w:uiPriority w:val="39"/>
    <w:unhideWhenUsed/>
    <w:pPr>
      <w:spacing w:after="57" w:line="276" w:lineRule="auto"/>
      <w:ind w:left="1701"/>
    </w:pPr>
    <w:rPr>
      <w:rFonts w:ascii="Liberation Sans" w:eastAsia="Liberation Sans" w:hAnsi="Liberation Sans" w:cs="Liberation Sans"/>
      <w:sz w:val="20"/>
      <w:szCs w:val="20"/>
      <w:lang w:eastAsia="en-US"/>
    </w:rPr>
  </w:style>
  <w:style w:type="paragraph" w:styleId="81">
    <w:name w:val="toc 8"/>
    <w:basedOn w:val="a"/>
    <w:next w:val="a"/>
    <w:uiPriority w:val="39"/>
    <w:unhideWhenUsed/>
    <w:pPr>
      <w:spacing w:after="57" w:line="276" w:lineRule="auto"/>
      <w:ind w:left="1984"/>
    </w:pPr>
    <w:rPr>
      <w:rFonts w:ascii="Liberation Sans" w:eastAsia="Liberation Sans" w:hAnsi="Liberation Sans" w:cs="Liberation Sans"/>
      <w:sz w:val="20"/>
      <w:szCs w:val="20"/>
      <w:lang w:eastAsia="en-US"/>
    </w:rPr>
  </w:style>
  <w:style w:type="paragraph" w:styleId="91">
    <w:name w:val="toc 9"/>
    <w:basedOn w:val="a"/>
    <w:next w:val="a"/>
    <w:uiPriority w:val="39"/>
    <w:unhideWhenUsed/>
    <w:pPr>
      <w:spacing w:after="57" w:line="276" w:lineRule="auto"/>
      <w:ind w:left="2268"/>
    </w:pPr>
    <w:rPr>
      <w:rFonts w:ascii="Liberation Sans" w:eastAsia="Liberation Sans" w:hAnsi="Liberation Sans" w:cs="Liberation Sans"/>
      <w:sz w:val="20"/>
      <w:szCs w:val="20"/>
      <w:lang w:eastAsia="en-US"/>
    </w:rPr>
  </w:style>
  <w:style w:type="paragraph" w:styleId="af6">
    <w:name w:val="TOC Heading"/>
    <w:uiPriority w:val="39"/>
    <w:unhideWhenUsed/>
  </w:style>
  <w:style w:type="paragraph" w:styleId="af7">
    <w:name w:val="table of figures"/>
    <w:basedOn w:val="a"/>
    <w:next w:val="a"/>
    <w:uiPriority w:val="99"/>
    <w:unhideWhenUsed/>
    <w:pPr>
      <w:spacing w:line="276" w:lineRule="auto"/>
    </w:pPr>
    <w:rPr>
      <w:rFonts w:ascii="Liberation Sans" w:eastAsia="Liberation Sans" w:hAnsi="Liberation Sans" w:cs="Liberation Sans"/>
      <w:sz w:val="20"/>
      <w:szCs w:val="20"/>
      <w:lang w:eastAsia="en-US"/>
    </w:rPr>
  </w:style>
  <w:style w:type="paragraph" w:styleId="af8">
    <w:name w:val="No Spacing"/>
    <w:basedOn w:val="a"/>
    <w:uiPriority w:val="1"/>
    <w:qFormat/>
    <w:rPr>
      <w:rFonts w:ascii="Liberation Sans" w:eastAsia="Liberation Sans" w:hAnsi="Liberation Sans" w:cs="Liberation Sans"/>
      <w:sz w:val="20"/>
      <w:szCs w:val="20"/>
      <w:lang w:eastAsia="en-US"/>
    </w:rPr>
  </w:style>
  <w:style w:type="paragraph" w:styleId="af9">
    <w:name w:val="List Paragraph"/>
    <w:basedOn w:val="a"/>
    <w:uiPriority w:val="34"/>
    <w:qFormat/>
    <w:pPr>
      <w:spacing w:after="200" w:line="276" w:lineRule="auto"/>
      <w:ind w:left="720"/>
      <w:contextualSpacing/>
    </w:pPr>
    <w:rPr>
      <w:rFonts w:ascii="Liberation Sans" w:eastAsia="Liberation Sans" w:hAnsi="Liberation Sans" w:cs="Liberation Sans"/>
      <w:sz w:val="20"/>
      <w:szCs w:val="20"/>
      <w:lang w:eastAsia="en-US"/>
    </w:rPr>
  </w:style>
  <w:style w:type="character" w:styleId="afa">
    <w:name w:val="FollowedHyperlink"/>
    <w:basedOn w:val="a0"/>
    <w:uiPriority w:val="99"/>
    <w:semiHidden/>
    <w:unhideWhenUsed/>
    <w:rsid w:val="00697687"/>
    <w:rPr>
      <w:color w:val="954F72" w:themeColor="followedHyperlink"/>
      <w:u w:val="single"/>
    </w:rPr>
  </w:style>
  <w:style w:type="paragraph" w:styleId="afb">
    <w:name w:val="Normal (Web)"/>
    <w:basedOn w:val="a"/>
    <w:uiPriority w:val="99"/>
    <w:unhideWhenUsed/>
    <w:rsid w:val="00697687"/>
    <w:pPr>
      <w:spacing w:before="100" w:beforeAutospacing="1" w:after="100" w:afterAutospacing="1"/>
      <w:ind w:firstLine="39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224">
      <w:bodyDiv w:val="1"/>
      <w:marLeft w:val="0"/>
      <w:marRight w:val="0"/>
      <w:marTop w:val="0"/>
      <w:marBottom w:val="0"/>
      <w:divBdr>
        <w:top w:val="none" w:sz="0" w:space="0" w:color="auto"/>
        <w:left w:val="none" w:sz="0" w:space="0" w:color="auto"/>
        <w:bottom w:val="none" w:sz="0" w:space="0" w:color="auto"/>
        <w:right w:val="none" w:sz="0" w:space="0" w:color="auto"/>
      </w:divBdr>
      <w:divsChild>
        <w:div w:id="1003433130">
          <w:marLeft w:val="0"/>
          <w:marRight w:val="0"/>
          <w:marTop w:val="0"/>
          <w:marBottom w:val="0"/>
          <w:divBdr>
            <w:top w:val="none" w:sz="0" w:space="0" w:color="auto"/>
            <w:left w:val="none" w:sz="0" w:space="0" w:color="auto"/>
            <w:bottom w:val="none" w:sz="0" w:space="0" w:color="auto"/>
            <w:right w:val="none" w:sz="0" w:space="0" w:color="auto"/>
          </w:divBdr>
          <w:divsChild>
            <w:div w:id="1647783490">
              <w:marLeft w:val="0"/>
              <w:marRight w:val="0"/>
              <w:marTop w:val="0"/>
              <w:marBottom w:val="0"/>
              <w:divBdr>
                <w:top w:val="none" w:sz="0" w:space="0" w:color="auto"/>
                <w:left w:val="none" w:sz="0" w:space="0" w:color="auto"/>
                <w:bottom w:val="none" w:sz="0" w:space="0" w:color="auto"/>
                <w:right w:val="none" w:sz="0" w:space="0" w:color="auto"/>
              </w:divBdr>
              <w:divsChild>
                <w:div w:id="2803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4986">
      <w:bodyDiv w:val="1"/>
      <w:marLeft w:val="0"/>
      <w:marRight w:val="0"/>
      <w:marTop w:val="0"/>
      <w:marBottom w:val="0"/>
      <w:divBdr>
        <w:top w:val="none" w:sz="0" w:space="0" w:color="auto"/>
        <w:left w:val="none" w:sz="0" w:space="0" w:color="auto"/>
        <w:bottom w:val="none" w:sz="0" w:space="0" w:color="auto"/>
        <w:right w:val="none" w:sz="0" w:space="0" w:color="auto"/>
      </w:divBdr>
      <w:divsChild>
        <w:div w:id="1794209614">
          <w:marLeft w:val="0"/>
          <w:marRight w:val="0"/>
          <w:marTop w:val="0"/>
          <w:marBottom w:val="0"/>
          <w:divBdr>
            <w:top w:val="none" w:sz="0" w:space="0" w:color="auto"/>
            <w:left w:val="none" w:sz="0" w:space="0" w:color="auto"/>
            <w:bottom w:val="none" w:sz="0" w:space="0" w:color="auto"/>
            <w:right w:val="none" w:sz="0" w:space="0" w:color="auto"/>
          </w:divBdr>
          <w:divsChild>
            <w:div w:id="679966991">
              <w:marLeft w:val="0"/>
              <w:marRight w:val="0"/>
              <w:marTop w:val="0"/>
              <w:marBottom w:val="0"/>
              <w:divBdr>
                <w:top w:val="none" w:sz="0" w:space="0" w:color="auto"/>
                <w:left w:val="none" w:sz="0" w:space="0" w:color="auto"/>
                <w:bottom w:val="none" w:sz="0" w:space="0" w:color="auto"/>
                <w:right w:val="none" w:sz="0" w:space="0" w:color="auto"/>
              </w:divBdr>
              <w:divsChild>
                <w:div w:id="54803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94409">
      <w:bodyDiv w:val="1"/>
      <w:marLeft w:val="0"/>
      <w:marRight w:val="0"/>
      <w:marTop w:val="0"/>
      <w:marBottom w:val="0"/>
      <w:divBdr>
        <w:top w:val="none" w:sz="0" w:space="0" w:color="auto"/>
        <w:left w:val="none" w:sz="0" w:space="0" w:color="auto"/>
        <w:bottom w:val="none" w:sz="0" w:space="0" w:color="auto"/>
        <w:right w:val="none" w:sz="0" w:space="0" w:color="auto"/>
      </w:divBdr>
      <w:divsChild>
        <w:div w:id="1591506322">
          <w:marLeft w:val="0"/>
          <w:marRight w:val="0"/>
          <w:marTop w:val="0"/>
          <w:marBottom w:val="0"/>
          <w:divBdr>
            <w:top w:val="none" w:sz="0" w:space="0" w:color="auto"/>
            <w:left w:val="none" w:sz="0" w:space="0" w:color="auto"/>
            <w:bottom w:val="none" w:sz="0" w:space="0" w:color="auto"/>
            <w:right w:val="none" w:sz="0" w:space="0" w:color="auto"/>
          </w:divBdr>
          <w:divsChild>
            <w:div w:id="287786865">
              <w:marLeft w:val="0"/>
              <w:marRight w:val="0"/>
              <w:marTop w:val="0"/>
              <w:marBottom w:val="0"/>
              <w:divBdr>
                <w:top w:val="none" w:sz="0" w:space="0" w:color="auto"/>
                <w:left w:val="none" w:sz="0" w:space="0" w:color="auto"/>
                <w:bottom w:val="none" w:sz="0" w:space="0" w:color="auto"/>
                <w:right w:val="none" w:sz="0" w:space="0" w:color="auto"/>
              </w:divBdr>
              <w:divsChild>
                <w:div w:id="152247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96618">
      <w:bodyDiv w:val="1"/>
      <w:marLeft w:val="0"/>
      <w:marRight w:val="0"/>
      <w:marTop w:val="0"/>
      <w:marBottom w:val="0"/>
      <w:divBdr>
        <w:top w:val="none" w:sz="0" w:space="0" w:color="auto"/>
        <w:left w:val="none" w:sz="0" w:space="0" w:color="auto"/>
        <w:bottom w:val="none" w:sz="0" w:space="0" w:color="auto"/>
        <w:right w:val="none" w:sz="0" w:space="0" w:color="auto"/>
      </w:divBdr>
      <w:divsChild>
        <w:div w:id="549220748">
          <w:marLeft w:val="0"/>
          <w:marRight w:val="0"/>
          <w:marTop w:val="0"/>
          <w:marBottom w:val="0"/>
          <w:divBdr>
            <w:top w:val="none" w:sz="0" w:space="0" w:color="auto"/>
            <w:left w:val="none" w:sz="0" w:space="0" w:color="auto"/>
            <w:bottom w:val="none" w:sz="0" w:space="0" w:color="auto"/>
            <w:right w:val="none" w:sz="0" w:space="0" w:color="auto"/>
          </w:divBdr>
          <w:divsChild>
            <w:div w:id="1727798505">
              <w:marLeft w:val="0"/>
              <w:marRight w:val="0"/>
              <w:marTop w:val="0"/>
              <w:marBottom w:val="0"/>
              <w:divBdr>
                <w:top w:val="none" w:sz="0" w:space="0" w:color="auto"/>
                <w:left w:val="none" w:sz="0" w:space="0" w:color="auto"/>
                <w:bottom w:val="none" w:sz="0" w:space="0" w:color="auto"/>
                <w:right w:val="none" w:sz="0" w:space="0" w:color="auto"/>
              </w:divBdr>
              <w:divsChild>
                <w:div w:id="161316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72669">
      <w:bodyDiv w:val="1"/>
      <w:marLeft w:val="0"/>
      <w:marRight w:val="0"/>
      <w:marTop w:val="0"/>
      <w:marBottom w:val="0"/>
      <w:divBdr>
        <w:top w:val="none" w:sz="0" w:space="0" w:color="auto"/>
        <w:left w:val="none" w:sz="0" w:space="0" w:color="auto"/>
        <w:bottom w:val="none" w:sz="0" w:space="0" w:color="auto"/>
        <w:right w:val="none" w:sz="0" w:space="0" w:color="auto"/>
      </w:divBdr>
      <w:divsChild>
        <w:div w:id="1073813687">
          <w:marLeft w:val="0"/>
          <w:marRight w:val="0"/>
          <w:marTop w:val="0"/>
          <w:marBottom w:val="0"/>
          <w:divBdr>
            <w:top w:val="none" w:sz="0" w:space="0" w:color="auto"/>
            <w:left w:val="none" w:sz="0" w:space="0" w:color="auto"/>
            <w:bottom w:val="none" w:sz="0" w:space="0" w:color="auto"/>
            <w:right w:val="none" w:sz="0" w:space="0" w:color="auto"/>
          </w:divBdr>
          <w:divsChild>
            <w:div w:id="1545486602">
              <w:marLeft w:val="0"/>
              <w:marRight w:val="0"/>
              <w:marTop w:val="0"/>
              <w:marBottom w:val="0"/>
              <w:divBdr>
                <w:top w:val="none" w:sz="0" w:space="0" w:color="auto"/>
                <w:left w:val="none" w:sz="0" w:space="0" w:color="auto"/>
                <w:bottom w:val="none" w:sz="0" w:space="0" w:color="auto"/>
                <w:right w:val="none" w:sz="0" w:space="0" w:color="auto"/>
              </w:divBdr>
              <w:divsChild>
                <w:div w:id="13729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8785">
      <w:bodyDiv w:val="1"/>
      <w:marLeft w:val="0"/>
      <w:marRight w:val="0"/>
      <w:marTop w:val="0"/>
      <w:marBottom w:val="0"/>
      <w:divBdr>
        <w:top w:val="none" w:sz="0" w:space="0" w:color="auto"/>
        <w:left w:val="none" w:sz="0" w:space="0" w:color="auto"/>
        <w:bottom w:val="none" w:sz="0" w:space="0" w:color="auto"/>
        <w:right w:val="none" w:sz="0" w:space="0" w:color="auto"/>
      </w:divBdr>
      <w:divsChild>
        <w:div w:id="1085686116">
          <w:marLeft w:val="0"/>
          <w:marRight w:val="0"/>
          <w:marTop w:val="0"/>
          <w:marBottom w:val="0"/>
          <w:divBdr>
            <w:top w:val="none" w:sz="0" w:space="0" w:color="auto"/>
            <w:left w:val="none" w:sz="0" w:space="0" w:color="auto"/>
            <w:bottom w:val="none" w:sz="0" w:space="0" w:color="auto"/>
            <w:right w:val="none" w:sz="0" w:space="0" w:color="auto"/>
          </w:divBdr>
          <w:divsChild>
            <w:div w:id="44061046">
              <w:marLeft w:val="0"/>
              <w:marRight w:val="0"/>
              <w:marTop w:val="0"/>
              <w:marBottom w:val="0"/>
              <w:divBdr>
                <w:top w:val="none" w:sz="0" w:space="0" w:color="auto"/>
                <w:left w:val="none" w:sz="0" w:space="0" w:color="auto"/>
                <w:bottom w:val="none" w:sz="0" w:space="0" w:color="auto"/>
                <w:right w:val="none" w:sz="0" w:space="0" w:color="auto"/>
              </w:divBdr>
              <w:divsChild>
                <w:div w:id="10998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77718">
      <w:bodyDiv w:val="1"/>
      <w:marLeft w:val="0"/>
      <w:marRight w:val="0"/>
      <w:marTop w:val="0"/>
      <w:marBottom w:val="0"/>
      <w:divBdr>
        <w:top w:val="none" w:sz="0" w:space="0" w:color="auto"/>
        <w:left w:val="none" w:sz="0" w:space="0" w:color="auto"/>
        <w:bottom w:val="none" w:sz="0" w:space="0" w:color="auto"/>
        <w:right w:val="none" w:sz="0" w:space="0" w:color="auto"/>
      </w:divBdr>
      <w:divsChild>
        <w:div w:id="1259751112">
          <w:marLeft w:val="0"/>
          <w:marRight w:val="0"/>
          <w:marTop w:val="0"/>
          <w:marBottom w:val="0"/>
          <w:divBdr>
            <w:top w:val="none" w:sz="0" w:space="0" w:color="auto"/>
            <w:left w:val="none" w:sz="0" w:space="0" w:color="auto"/>
            <w:bottom w:val="none" w:sz="0" w:space="0" w:color="auto"/>
            <w:right w:val="none" w:sz="0" w:space="0" w:color="auto"/>
          </w:divBdr>
          <w:divsChild>
            <w:div w:id="1203058694">
              <w:marLeft w:val="0"/>
              <w:marRight w:val="0"/>
              <w:marTop w:val="0"/>
              <w:marBottom w:val="0"/>
              <w:divBdr>
                <w:top w:val="none" w:sz="0" w:space="0" w:color="auto"/>
                <w:left w:val="none" w:sz="0" w:space="0" w:color="auto"/>
                <w:bottom w:val="none" w:sz="0" w:space="0" w:color="auto"/>
                <w:right w:val="none" w:sz="0" w:space="0" w:color="auto"/>
              </w:divBdr>
              <w:divsChild>
                <w:div w:id="101823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3339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Terekhova</dc:creator>
  <cp:lastModifiedBy>Вера Терекова</cp:lastModifiedBy>
  <cp:revision>3</cp:revision>
  <dcterms:created xsi:type="dcterms:W3CDTF">2024-02-26T22:00:00Z</dcterms:created>
  <dcterms:modified xsi:type="dcterms:W3CDTF">2024-02-26T22:00:00Z</dcterms:modified>
</cp:coreProperties>
</file>