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line="240" w:lineRule="auto"/>
        <w:jc w:val="center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Конструкция с деепричастием бытийного глагола в татышлинском говоре удмуртского языка</w:t>
      </w:r>
    </w:p>
    <w:p>
      <w:pPr>
        <w:pStyle w:val="Corps A"/>
        <w:spacing w:line="240" w:lineRule="auto"/>
        <w:jc w:val="center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Кожевникова Элина Константиновна</w:t>
      </w:r>
    </w:p>
    <w:p>
      <w:pPr>
        <w:pStyle w:val="Corps A"/>
        <w:spacing w:line="240" w:lineRule="auto"/>
        <w:jc w:val="center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Студентка Московского государственного университета им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</w:p>
    <w:p>
      <w:pPr>
        <w:pStyle w:val="Corps A"/>
        <w:spacing w:line="240" w:lineRule="auto"/>
        <w:jc w:val="center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ind w:firstLine="709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Предметом рассмотрения в работе является семантика конструкции с деепричастием 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lu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̇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sa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образованным от бытийного глагола 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lu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̇ə̈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n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ə̈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 ‘стать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становиться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Она обозначает добавочное действие или ситуацию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совпадающие по времени с главным событием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Мы опишем особенности употребления данной конструкции в татышлинском говоре периферийно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южного диалекта южного наречия удмуртского языка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Материал собран методом анкетирования в селах Старый Кызыл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Яр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Ивановка и Нижнебалтачево Татышлинского района Республики Башкортостан в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2023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Corps A"/>
        <w:spacing w:line="240" w:lineRule="auto"/>
        <w:ind w:firstLine="709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Значения данной конструкции в литературном удмуртском наиболее подробно описаны в </w:t>
      </w:r>
      <w:r>
        <w:rPr>
          <w:rStyle w:val="Aucun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Кельмаков </w:t>
      </w:r>
      <w:r>
        <w:rPr>
          <w:rStyle w:val="Aucun"/>
          <w:rFonts w:ascii="Times New Roman" w:hAnsi="Times New Roman"/>
          <w:sz w:val="24"/>
          <w:szCs w:val="24"/>
          <w:rtl w:val="0"/>
          <w:lang w:val="pt-PT"/>
        </w:rPr>
        <w:t xml:space="preserve">1973],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где в качестве основных приводятся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 одной стороны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значение существования и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 другой стороны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значение становления и превращения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Также конструкция упоминается в </w:t>
      </w:r>
      <w:r>
        <w:rPr>
          <w:rStyle w:val="Aucun"/>
          <w:rFonts w:ascii="Times New Roman" w:hAnsi="Times New Roman"/>
          <w:sz w:val="24"/>
          <w:szCs w:val="24"/>
          <w:rtl w:val="0"/>
          <w:lang w:val="pt-PT"/>
        </w:rPr>
        <w:t xml:space="preserve">[Edygarova 2017: 316]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в качестве альтернативной для выражения семантики функции или профессии участника в контекстах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свойственным депиктивам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rps A"/>
        <w:spacing w:line="240" w:lineRule="auto"/>
        <w:ind w:firstLine="709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В татышлинском говоре данная конструкция может выражать состояние участника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(1),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функцию или профессию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(2),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результат некоторого процесса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(3).</w:t>
      </w:r>
    </w:p>
    <w:p>
      <w:pPr>
        <w:pStyle w:val="Corps A"/>
        <w:spacing w:line="240" w:lineRule="auto"/>
        <w:ind w:firstLine="54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>(1)</w:t>
        <w:tab/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pu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̇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ə̈ </w:t>
      </w:r>
      <w:r>
        <w:rPr>
          <w:rStyle w:val="Aucun"/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pt-PT"/>
        </w:rPr>
        <w:tab/>
        <w:t xml:space="preserve">uram-is' </w:t>
        <w:tab/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kot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lang w:val="en-US"/>
        </w:rPr>
        <w:tab/>
        <w:tab/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lu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̇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-sa </w:t>
        <w:tab/>
        <w:tab/>
        <w:tab/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ə̑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r-i-z</w:t>
      </w:r>
    </w:p>
    <w:p>
      <w:pPr>
        <w:pStyle w:val="Corps A"/>
        <w:spacing w:line="240" w:lineRule="auto"/>
        <w:ind w:firstLine="72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собака</w:t>
        <w:tab/>
        <w:t>улица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el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  <w:tab/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мокрый </w:t>
        <w:tab/>
        <w:t>становиться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cvb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зайти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pst-3sg</w:t>
      </w:r>
    </w:p>
    <w:p>
      <w:pPr>
        <w:pStyle w:val="Corps A"/>
        <w:spacing w:line="240" w:lineRule="auto"/>
        <w:ind w:firstLine="72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‘Собака вернулась с улицы мокрой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rps A"/>
        <w:spacing w:line="240" w:lineRule="auto"/>
        <w:ind w:firstLine="72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(2)</w:t>
        <w:tab/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m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ə̑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nam</w:t>
        <w:tab/>
        <w:t>anaj</w:t>
        <w:tab/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š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kol-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ə̑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n</w:t>
        <w:tab/>
        <w:tab/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d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ə̑š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etis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'</w:t>
        <w:tab/>
      </w:r>
      <w:r>
        <w:rPr>
          <w:rStyle w:val="Aucun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ab/>
        <w:t>lu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̇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a-DK"/>
        </w:rPr>
        <w:t>-sa</w:t>
        <w:tab/>
        <w:tab/>
        <w:tab/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u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ž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a-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Ø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gen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мать</w:t>
        <w:tab/>
        <w:t>школа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loc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учитель</w:t>
        <w:tab/>
        <w:t>становиться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cvb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работать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prs.3sg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  <w:tab/>
        <w:t>‘Моя мама работает в школе учительницей’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>(3)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  <w:tab/>
        <w:t>so</w:t>
        <w:tab/>
        <w:t>jablokpu-ez</w:t>
        <w:tab/>
        <w:tab/>
        <w:t>so-len</w:t>
        <w:tab/>
        <w:tab/>
        <w:t>tu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ž </w:t>
        <w:tab/>
        <w:tab/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ba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ˀǯ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'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ə̑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m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  <w:tab/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этот </w:t>
        <w:tab/>
        <w:t>яблоня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poss.3sg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этот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gen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очень</w:t>
        <w:tab/>
        <w:tab/>
        <w:t>большой</w:t>
      </w:r>
    </w:p>
    <w:p>
      <w:pPr>
        <w:pStyle w:val="Corps A"/>
        <w:spacing w:line="240" w:lineRule="auto"/>
        <w:ind w:firstLine="720"/>
        <w:rPr>
          <w:rStyle w:val="Aucun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lu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̇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a-DK"/>
        </w:rPr>
        <w:t>-sa</w:t>
        <w:tab/>
        <w:tab/>
        <w:tab/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bud-i-z</w:t>
      </w:r>
    </w:p>
    <w:p>
      <w:pPr>
        <w:pStyle w:val="Corps A"/>
        <w:spacing w:line="240" w:lineRule="auto"/>
        <w:ind w:firstLine="720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становиться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cvb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расти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pst-3sg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Aucun"/>
          <w:rFonts w:ascii="Times New Roman" w:cs="Times New Roman" w:hAnsi="Times New Roman" w:eastAsia="Times New Roman"/>
          <w:i w:val="1"/>
          <w:iCs w:val="1"/>
          <w:sz w:val="24"/>
          <w:szCs w:val="24"/>
        </w:rPr>
        <w:tab/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‘Эта яблоня у него выросла очень большая’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ind w:firstLine="709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Однако в некоторых контекстах у данной конструкции возникает значение притворной модальности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см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также </w:t>
      </w:r>
      <w:r>
        <w:rPr>
          <w:rStyle w:val="Aucun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Кельмаков </w:t>
      </w:r>
      <w:r>
        <w:rPr>
          <w:rStyle w:val="Aucun"/>
          <w:rFonts w:ascii="Times New Roman" w:hAnsi="Times New Roman"/>
          <w:sz w:val="24"/>
          <w:szCs w:val="24"/>
          <w:rtl w:val="0"/>
          <w:lang w:val="pt-PT"/>
        </w:rPr>
        <w:t xml:space="preserve">1973]),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блокирующее иные интерпретации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(4).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В докладе мы обсудим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в каких случаях возможна данная семантика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опираясь на карту ориентированных на участника значений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представленную в </w:t>
      </w:r>
      <w:r>
        <w:rPr>
          <w:rStyle w:val="Aucun"/>
          <w:rFonts w:ascii="Times New Roman" w:hAnsi="Times New Roman"/>
          <w:sz w:val="24"/>
          <w:szCs w:val="24"/>
          <w:rtl w:val="0"/>
          <w:lang w:val="de-DE"/>
        </w:rPr>
        <w:t>[Himmelmann, Schultze-Berndt 2005: 29].</w:t>
      </w:r>
    </w:p>
    <w:p>
      <w:pPr>
        <w:pStyle w:val="Corps A"/>
        <w:spacing w:line="240" w:lineRule="auto"/>
        <w:ind w:firstLine="54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(4) </w:t>
        <w:tab/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ol'a </w:t>
        <w:tab/>
        <w:t>d'ivan-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ə̑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n </w:t>
        <w:tab/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vis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'-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em </w:t>
        <w:tab/>
        <w:tab/>
        <w:t>lu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̇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-sa </w:t>
        <w:tab/>
        <w:tab/>
        <w:tab/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k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ə̑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l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'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l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'-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e</w:t>
      </w:r>
      <w:r>
        <w:rPr>
          <w:rStyle w:val="Aucun"/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br w:type="textWrapping"/>
        <w:t xml:space="preserve"> </w:t>
        <w:tab/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Оля </w:t>
        <w:tab/>
        <w:t>диван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loc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 </w:t>
        <w:tab/>
        <w:t>болеть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ptcp.pst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становиться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cvb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 </w:t>
        <w:tab/>
        <w:t>лежать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prs.3sg</w:t>
      </w:r>
    </w:p>
    <w:p>
      <w:pPr>
        <w:pStyle w:val="Corps A"/>
        <w:spacing w:line="240" w:lineRule="auto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  <w:tab/>
        <w:t>‘Оля притворяется больной и лежит на диване’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 </w:t>
        <w:tab/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*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‘Оля больная лежит на диване’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Corps A"/>
        <w:spacing w:line="240" w:lineRule="auto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ind w:firstLine="709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Конструкция с деепричастием бытийного глагола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выражающая ориентированные на участника значения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встречается во многих тюркских языках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Поэтому мы рассмотрим удмуртские данные в сопоставлении с тюркскими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учитывая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что татышлинский говор подвергается значительному контактному влиянию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Деепричастие бытийного глагола в данных конструкциях часто грамматикализуется в качестве послелога </w:t>
      </w:r>
      <w:r>
        <w:rPr>
          <w:rStyle w:val="Aucun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Невская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2019].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в тувинском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(5)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возможно выразить аналогичной конструкцией значение профессии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в алтайском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(6)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отслеживается семантика притворства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Corps A"/>
        <w:spacing w:line="240" w:lineRule="auto"/>
        <w:ind w:firstLine="54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(5)</w:t>
        <w:tab/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Ol</w:t>
        <w:tab/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ba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š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q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ï </w:t>
        <w:tab/>
        <w:tab/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bolup</w:t>
      </w:r>
      <w:r>
        <w:rPr>
          <w:rStyle w:val="Aucun"/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a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žï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 xml:space="preserve">lda-p </w:t>
        <w:tab/>
        <w:t>c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̌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oraan.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он</w:t>
        <w:tab/>
        <w:t>учитель</w:t>
        <w:tab/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 xml:space="preserve">post 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работать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 xml:space="preserve">cv 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ходить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aux.pf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‘Он работает учителем’</w:t>
      </w:r>
      <w:r>
        <w:rPr>
          <w:rStyle w:val="Aucun"/>
          <w:rFonts w:ascii="Times New Roman" w:hAnsi="Times New Roman"/>
          <w:sz w:val="24"/>
          <w:szCs w:val="24"/>
          <w:rtl w:val="0"/>
          <w:lang w:val="pt-PT"/>
        </w:rPr>
        <w:t>. [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Невская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2019: 335]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(6)</w:t>
        <w:tab/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Aq</w:t>
        <w:tab/>
        <w:t xml:space="preserve">qoyon </w:t>
        <w:tab/>
        <w:t>bolup</w:t>
      </w:r>
      <w:r>
        <w:rPr>
          <w:rStyle w:val="Aucun"/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  <w:lang w:val="ru-RU"/>
        </w:rPr>
        <w:tab/>
        <w:t>kel-d-i.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белый </w:t>
        <w:tab/>
        <w:t xml:space="preserve">заяц </w:t>
        <w:tab/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 xml:space="preserve">post 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прийти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Aucun"/>
          <w:rFonts w:ascii="Times New Roman" w:hAnsi="Times New Roman"/>
          <w:smallCaps w:val="1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pst-3</w:t>
      </w: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br w:type="textWrapping"/>
        <w:t xml:space="preserve"> </w:t>
        <w:tab/>
        <w:t>‘Он пришел в облике зайца’</w:t>
      </w:r>
      <w:r>
        <w:rPr>
          <w:rStyle w:val="Aucun"/>
          <w:rFonts w:ascii="Times New Roman" w:hAnsi="Times New Roman"/>
          <w:sz w:val="24"/>
          <w:szCs w:val="24"/>
          <w:rtl w:val="0"/>
          <w:lang w:val="pt-PT"/>
        </w:rPr>
        <w:t>. [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Невская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2019: 335]</w:t>
      </w:r>
    </w:p>
    <w:p>
      <w:pPr>
        <w:pStyle w:val="Corps A"/>
        <w:spacing w:line="240" w:lineRule="auto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ind w:firstLine="709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Конструкции с деепричастием бытийного глагола в данных контекстах употребляются и в некоторых уральских языках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в нганасанском основным способом выражения различных ориентированных на участника значений является конструкция с деепричастием глагола 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is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ru-RU"/>
        </w:rPr>
        <w:t>j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a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 ‘быть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 [Szever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nyi, Wagner-Nagy 2017].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В докладе мы опишем особенности употребления конструкции с деепричастием 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lu</w:t>
      </w:r>
      <w:r>
        <w:rPr>
          <w:rStyle w:val="Aucun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̇</w:t>
      </w:r>
      <w:r>
        <w:rPr>
          <w:rStyle w:val="Aucun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sa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 в татышлинском говоре удмуртского языка и сравним наши данные с более широким типологическим фоном из тюркских и уральских языков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rps A"/>
        <w:spacing w:line="240" w:lineRule="auto"/>
        <w:ind w:firstLine="709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spacing w:line="240" w:lineRule="auto"/>
        <w:jc w:val="center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Литература</w:t>
      </w:r>
    </w:p>
    <w:p>
      <w:pPr>
        <w:pStyle w:val="Corps A"/>
        <w:spacing w:line="240" w:lineRule="auto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Кельмаков В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Об отглагольных послелогах шуыса и луыса в удмуртском языке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Вопросы удмуртского языкознания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1973.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.123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151.</w:t>
      </w:r>
    </w:p>
    <w:p>
      <w:pPr>
        <w:pStyle w:val="Corps A"/>
        <w:spacing w:line="240" w:lineRule="auto"/>
        <w:jc w:val="both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Невская И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 xml:space="preserve">Конструкции с депиктивными второстепенными предикатами со своим собственным грамматическим субъектом в сибирских тюркских языках 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Критика и семиотика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 xml:space="preserve">2019.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en-US"/>
        </w:rPr>
        <w:t>№</w:t>
      </w: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 xml:space="preserve">. 2.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>.327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>344.</w:t>
      </w:r>
    </w:p>
    <w:p>
      <w:pPr>
        <w:pStyle w:val="Corps A"/>
        <w:spacing w:line="240" w:lineRule="auto"/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>Edygarova S. The Udmurt essive and its functional counterparts // Uralic Essive and the Expression of Impermanent State. John Benjamins, 2017. P.309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>323.</w:t>
      </w:r>
    </w:p>
    <w:p>
      <w:pPr>
        <w:pStyle w:val="Corps A"/>
        <w:spacing w:line="240" w:lineRule="auto"/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 xml:space="preserve">Himmelmann N., Schultze-Berndt E. (eds.). Secondary Predication and Adverbial Modification: The Typology of Depictives. Oxford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>New York: Oxford University Press on Demand, 2005.</w:t>
      </w:r>
    </w:p>
    <w:p>
      <w:pPr>
        <w:pStyle w:val="Corps A"/>
        <w:spacing w:line="240" w:lineRule="auto"/>
        <w:jc w:val="both"/>
      </w:pP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>Szever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>nyi S., Wagner-Nagy B. The essive-translative in Nganasan // Uralic Essive and the Expression of Impermanent State. John Benjamins, 2017. P.461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Style w:val="Aucun"/>
          <w:rFonts w:ascii="Times New Roman" w:hAnsi="Times New Roman"/>
          <w:sz w:val="24"/>
          <w:szCs w:val="24"/>
          <w:rtl w:val="0"/>
          <w:lang w:val="ru-RU"/>
        </w:rPr>
        <w:t>477.</w:t>
      </w:r>
    </w:p>
    <w:sectPr>
      <w:headerReference w:type="default" r:id="rId4"/>
      <w:footerReference w:type="default" r:id="rId5"/>
      <w:pgSz w:w="11900" w:h="16840" w:orient="portrait"/>
      <w:pgMar w:top="1133" w:right="1417" w:bottom="1133" w:left="1417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