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0"/>
        <w:ind w:firstLine="709"/>
        <w:jc w:val="center"/>
        <w:rPr>
          <w:b w:val="false"/>
        </w:rPr>
      </w:pPr>
      <w:r>
        <w:rPr>
          <w:rFonts w:eastAsia="宋体" w:cs="Times New Roman" w:ascii="Times New Roman;serif" w:hAnsi="Times New Roman;serif"/>
          <w:b/>
          <w:i/>
          <w:caps w:val="false"/>
          <w:smallCaps w:val="false"/>
          <w:strike w:val="false"/>
          <w:dstrike w:val="false"/>
          <w:color w:val="000000"/>
          <w:sz w:val="24"/>
          <w:szCs w:val="24"/>
          <w:u w:val="none"/>
          <w:effect w:val="none"/>
          <w:shd w:fill="auto" w:val="clear"/>
          <w:lang w:val="ru-RU"/>
        </w:rPr>
        <w:t>Сравнительное исследование: теоретические основы российско-китайской модели евразийской интеграции</w:t>
      </w:r>
    </w:p>
    <w:p>
      <w:pPr>
        <w:pStyle w:val="Style20"/>
        <w:bidi w:val="0"/>
        <w:spacing w:lineRule="auto" w:line="307" w:before="0" w:after="0"/>
        <w:jc w:val="center"/>
        <w:rPr>
          <w:rFonts w:ascii="Times New Roman;serif" w:hAnsi="Times New Roman;serif"/>
          <w:b/>
          <w:i/>
          <w:caps w:val="false"/>
          <w:smallCaps w:val="false"/>
          <w:strike w:val="false"/>
          <w:dstrike w:val="false"/>
          <w:color w:val="000000"/>
          <w:sz w:val="24"/>
          <w:u w:val="none"/>
          <w:effect w:val="none"/>
          <w:shd w:fill="auto" w:val="clear"/>
        </w:rPr>
      </w:pPr>
      <w:r>
        <w:rPr>
          <w:rFonts w:ascii="Times New Roman;serif" w:hAnsi="Times New Roman;serif"/>
          <w:b/>
          <w:i/>
          <w:caps w:val="false"/>
          <w:smallCaps w:val="false"/>
          <w:strike w:val="false"/>
          <w:dstrike w:val="false"/>
          <w:color w:val="000000"/>
          <w:sz w:val="24"/>
          <w:u w:val="none"/>
          <w:effect w:val="none"/>
          <w:shd w:fill="auto" w:val="clear"/>
        </w:rPr>
        <w:t>Сюе Сяохань</w:t>
      </w:r>
    </w:p>
    <w:p>
      <w:pPr>
        <w:pStyle w:val="Style20"/>
        <w:bidi w:val="0"/>
        <w:spacing w:lineRule="auto" w:line="307" w:before="0" w:after="0"/>
        <w:jc w:val="center"/>
        <w:rPr>
          <w:rFonts w:ascii="Times New Roman;serif" w:hAnsi="Times New Roman;serif"/>
          <w:b w:val="false"/>
          <w:i/>
          <w:caps w:val="false"/>
          <w:smallCaps w:val="false"/>
          <w:strike w:val="false"/>
          <w:dstrike w:val="false"/>
          <w:color w:val="000000"/>
          <w:sz w:val="24"/>
          <w:u w:val="none"/>
          <w:effect w:val="none"/>
          <w:shd w:fill="auto" w:val="clear"/>
        </w:rPr>
      </w:pPr>
      <w:r>
        <w:rPr>
          <w:rFonts w:ascii="Times New Roman;serif" w:hAnsi="Times New Roman;serif"/>
          <w:b w:val="false"/>
          <w:i/>
          <w:caps w:val="false"/>
          <w:smallCaps w:val="false"/>
          <w:strike w:val="false"/>
          <w:dstrike w:val="false"/>
          <w:color w:val="000000"/>
          <w:sz w:val="24"/>
          <w:u w:val="none"/>
          <w:effect w:val="none"/>
          <w:shd w:fill="auto" w:val="clear"/>
        </w:rPr>
        <w:t>Российский университет дружбы народов, Юридический факультет, Аспирант, 2023</w:t>
      </w:r>
    </w:p>
    <w:p>
      <w:pPr>
        <w:pStyle w:val="Style20"/>
        <w:jc w:val="center"/>
        <w:rPr/>
      </w:pPr>
      <w:r>
        <w:rPr>
          <w:rFonts w:ascii="Times New Roman;serif" w:hAnsi="Times New Roman;serif"/>
          <w:b w:val="false"/>
          <w:i/>
          <w:caps w:val="false"/>
          <w:smallCaps w:val="false"/>
          <w:strike w:val="false"/>
          <w:dstrike w:val="false"/>
          <w:color w:val="353535"/>
          <w:sz w:val="24"/>
          <w:u w:val="none"/>
          <w:effect w:val="none"/>
          <w:shd w:fill="FFFFFF" w:val="clear"/>
        </w:rPr>
        <w:t xml:space="preserve">E–mail: </w:t>
      </w:r>
      <w:r>
        <w:rPr>
          <w:rFonts w:ascii="Times New Roman;serif" w:hAnsi="Times New Roman;serif"/>
          <w:b w:val="false"/>
          <w:i/>
          <w:caps w:val="false"/>
          <w:smallCaps w:val="false"/>
          <w:strike w:val="false"/>
          <w:dstrike w:val="false"/>
          <w:color w:val="000000"/>
          <w:sz w:val="24"/>
          <w:u w:val="none"/>
          <w:effect w:val="none"/>
          <w:shd w:fill="auto" w:val="clear"/>
        </w:rPr>
        <w:t>1042238214@rudn.ru</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В результате развития международной и региональной ситуации Россия стала обращать внимание на Евразийский регион, руководствуясь теорией неоевразийства. По мере смещения дипломатического центра тяжести на восток была выдвинута идея Большого евразийского партнерства. Пространственные рамки стратегии евразийской интеграции были расширены с постсоветского пространства до евразийского континента.</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С точки зрения процесса формулирования теории, существует четкое различие между китайской моделью и российским неоевразийством. В теоретической и практической системе КПК модель принятия решений демократического централизма относительно больше ориентирована на результаты внутрипартийной демократии, которые обычно совпадают с политической программой и долгосрочными планами развития КПК. Процесс принятия решений по внешней стратегии России, напротив, в большей степени опирается на оценку реальных проблем или, что более уместно, на сочетание теоретических знаний и практического опыта команды сотрудников и дипломатов президента.</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Китай, как важная страна Евразии, также является ключевым партнером в строительстве Партнерства Большой Евразии. Инициатива "</w:t>
      </w:r>
      <w:bookmarkStart w:id="0" w:name="OLE_LINK5"/>
      <w:r>
        <w:rPr>
          <w:rFonts w:eastAsia="宋体" w:cs="Times New Roman" w:ascii="Times New Roman" w:hAnsi="Times New Roman"/>
          <w:sz w:val="24"/>
          <w:szCs w:val="24"/>
          <w:lang w:val="ru-RU"/>
        </w:rPr>
        <w:t>Один пояс и один путь</w:t>
      </w:r>
      <w:bookmarkEnd w:id="0"/>
      <w:r>
        <w:rPr>
          <w:rFonts w:eastAsia="宋体" w:cs="Times New Roman" w:ascii="Times New Roman" w:hAnsi="Times New Roman"/>
          <w:sz w:val="24"/>
          <w:szCs w:val="24"/>
          <w:lang w:val="ru-RU"/>
        </w:rPr>
        <w:t>" как важная практическая платформа для построения сообщества человеческой судьбы в значительной степени перекликается со стратегическим видением Евразийского партнерства, а также сильно укрепляет сотрудничество между странами евразийского региона. В рамках теории построения сообщества человеческой судьбы три основные глобальные инициативы, выдвинутые председателем Си Цзиньпином, отражают мировоззрение глобального управления в китайском стиле. Сравнительный анализ двух теорий позволяет лучше понять причины и внутренние движущие силы заинтересованности двух стран в продвижении процесса евразийской интеграции.</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Среди неоевразийских теорий наиболее представительной является мысль Александра Дугина. В ее основе лежит взгляд на цивилизацию и выраженная им геополитическая доктрина.</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 xml:space="preserve">Неоевразийство считает, что Евразия обладает собственной уникальной цивилизацией и не должна принимать единую систему принципов и ценностей, навязанную другим народам и культурам романо-германской цивилизацией. У каждой страны и народа есть своя внутренняя логика развития </w:t>
      </w:r>
      <w:bookmarkStart w:id="1" w:name="OLE_LINK6"/>
      <w:r>
        <w:rPr>
          <w:rFonts w:cs="Times New Roman" w:ascii="Times New Roman" w:hAnsi="Times New Roman"/>
          <w:color w:val="000000"/>
          <w:sz w:val="24"/>
          <w:szCs w:val="24"/>
          <w:lang w:val="ru-RU"/>
        </w:rPr>
        <w:t>[</w:t>
      </w:r>
      <w:r>
        <w:rPr>
          <w:rFonts w:cs="Times New Roman" w:ascii="Times New Roman" w:hAnsi="Times New Roman"/>
          <w:color w:val="000000"/>
          <w:sz w:val="24"/>
          <w:szCs w:val="24"/>
          <w:lang w:val="ru-RU"/>
        </w:rPr>
        <w:t>1</w:t>
      </w:r>
      <w:r>
        <w:rPr>
          <w:rFonts w:cs="Times New Roman" w:ascii="Times New Roman" w:hAnsi="Times New Roman"/>
          <w:color w:val="000000"/>
          <w:sz w:val="24"/>
          <w:szCs w:val="24"/>
          <w:lang w:val="ru-RU"/>
        </w:rPr>
        <w:t>, p. 18]</w:t>
      </w:r>
      <w:bookmarkEnd w:id="1"/>
      <w:r>
        <w:rPr>
          <w:rFonts w:eastAsia="宋体" w:cs="Times New Roman" w:ascii="Times New Roman" w:hAnsi="Times New Roman"/>
          <w:sz w:val="24"/>
          <w:szCs w:val="24"/>
          <w:lang w:val="ru-RU"/>
        </w:rPr>
        <w:t xml:space="preserve">. Теория построения сообщества человеческой судьбы также выражает такие взгляды: разнообразие человеческих цивилизаций - это фундаментальная особенность мира, и разнообразие мировых цивилизаций следует уважать. Она решительно выступает против "теории цивилизационного превосходства" и "теории расового превосходства", которых придерживаются несколько стран, а также против менталитета времен "холодной войны", когда границы проводились на основе идеологии, и выступает за цивилизационное мировоззрение, которое является толерантным и взаимовыгодным </w:t>
      </w:r>
      <w:r>
        <w:rPr>
          <w:rFonts w:cs="Times New Roman" w:ascii="Times New Roman" w:hAnsi="Times New Roman"/>
          <w:color w:val="000000"/>
          <w:sz w:val="24"/>
          <w:szCs w:val="24"/>
          <w:lang w:val="ru-RU"/>
        </w:rPr>
        <w:t>[</w:t>
      </w:r>
      <w:r>
        <w:rPr>
          <w:rFonts w:cs="Times New Roman" w:ascii="Times New Roman" w:hAnsi="Times New Roman"/>
          <w:color w:val="000000"/>
          <w:kern w:val="0"/>
          <w:sz w:val="24"/>
          <w:szCs w:val="24"/>
          <w:lang w:val="ru-RU"/>
          <w14:ligatures w14:val="none"/>
        </w:rPr>
        <w:t>2</w:t>
      </w:r>
      <w:r>
        <w:rPr>
          <w:rFonts w:cs="Times New Roman" w:ascii="Times New Roman" w:hAnsi="Times New Roman"/>
          <w:color w:val="000000"/>
          <w:sz w:val="24"/>
          <w:szCs w:val="24"/>
          <w:lang w:val="ru-RU"/>
        </w:rPr>
        <w:t>]</w:t>
      </w:r>
      <w:r>
        <w:rPr>
          <w:rFonts w:eastAsia="宋体" w:cs="Times New Roman" w:ascii="Times New Roman" w:hAnsi="Times New Roman"/>
          <w:sz w:val="24"/>
          <w:szCs w:val="24"/>
          <w:lang w:val="ru-RU"/>
        </w:rPr>
        <w:t xml:space="preserve">. </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Исходя из этого, обе стороны выступают против гегемонии Запада, критикуют миропорядок, в котором доминирует Запад, и считают, что существующая структурная модель "центр-периферия" недостаточна для удовлетворения потребностей развития всех стран. Неоевразийство выступает против однополярного мира и поэтому предлагает четвертую политическую теорию и многополярный мир. Эта же идея отражена в доктрине сообщества человеческой судьбы.</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Примечательно, что хотя и Китай, и Россия предложили схожие решения и основные взгляды на современные тенденции в международном сообществе в рамках тенденции к многополярности, различия в политическом и культурном измерениях двух стран привели к совершенно разным практическим путям. Процесс интеграции в евразийском регионе показывает, что российская практика в большей степени ориентирована на использование традиционных, прямых военных и дипломатических средств, в то время как Китай занимает относительно более умеренную позицию. С одной стороны, Китаю не хватает опыта геополитической конкуренции в сердце Евразии, а с другой стороны, как "начинающему игроку", очевидно, что самый простой способ быстро привлечь потенциальных партнеров - использовать свои самые сильные стороны,</w:t>
      </w:r>
      <w:r>
        <w:rPr>
          <w:rFonts w:cs="Times New Roman" w:ascii="Times New Roman" w:hAnsi="Times New Roman"/>
          <w:sz w:val="24"/>
          <w:szCs w:val="24"/>
          <w:lang w:val="ru-RU"/>
        </w:rPr>
        <w:t xml:space="preserve"> </w:t>
      </w:r>
      <w:r>
        <w:rPr>
          <w:rFonts w:eastAsia="宋体" w:cs="Times New Roman" w:ascii="Times New Roman" w:hAnsi="Times New Roman"/>
          <w:sz w:val="24"/>
          <w:szCs w:val="24"/>
          <w:lang w:val="ru-RU"/>
        </w:rPr>
        <w:t>то есть использование экономического сотрудничества для развития культурного сотрудничества, межэтнических обменов, межкультурная коммуникация и взаимосвязь.</w:t>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r>
    </w:p>
    <w:p>
      <w:pPr>
        <w:pStyle w:val="Normal"/>
        <w:ind w:firstLine="709"/>
        <w:rPr>
          <w:rFonts w:ascii="Times New Roman" w:hAnsi="Times New Roman" w:eastAsia="宋体" w:cs="Times New Roman"/>
          <w:sz w:val="24"/>
          <w:szCs w:val="24"/>
          <w:lang w:val="ru-RU"/>
        </w:rPr>
      </w:pPr>
      <w:r>
        <w:rPr>
          <w:rFonts w:eastAsia="宋体" w:cs="Times New Roman" w:ascii="Times New Roman" w:hAnsi="Times New Roman"/>
          <w:sz w:val="24"/>
          <w:szCs w:val="24"/>
          <w:lang w:val="ru-RU"/>
        </w:rPr>
        <w:t>Список литературы</w:t>
      </w:r>
    </w:p>
    <w:p>
      <w:pPr>
        <w:pStyle w:val="Style27"/>
        <w:numPr>
          <w:ilvl w:val="0"/>
          <w:numId w:val="1"/>
        </w:numPr>
        <w:rPr>
          <w:rFonts w:ascii="Times New Roman" w:hAnsi="Times New Roman" w:cs="Times New Roman"/>
          <w:sz w:val="24"/>
          <w:szCs w:val="24"/>
        </w:rPr>
      </w:pPr>
      <w:r>
        <w:rPr>
          <w:rFonts w:cs="Times New Roman" w:ascii="Times New Roman" w:hAnsi="Times New Roman"/>
          <w:color w:val="000000"/>
          <w:sz w:val="24"/>
          <w:szCs w:val="24"/>
        </w:rPr>
        <w:t>Dugin A. Eurasian Mission: An Introduction to Neo-Eurasianism. London: Arktos, 2014, 180 p.</w:t>
      </w:r>
      <w:r>
        <w:rPr>
          <w:rFonts w:cs="Times New Roman" w:ascii="Times New Roman" w:hAnsi="Times New Roman"/>
          <w:sz w:val="24"/>
          <w:szCs w:val="24"/>
        </w:rPr>
        <w:t xml:space="preserve"> (In Russ.)</w:t>
      </w:r>
    </w:p>
    <w:p>
      <w:pPr>
        <w:pStyle w:val="ListParagraph"/>
        <w:numPr>
          <w:ilvl w:val="0"/>
          <w:numId w:val="1"/>
        </w:numPr>
        <w:rPr>
          <w:rFonts w:ascii="Times New Roman" w:hAnsi="Times New Roman" w:eastAsia="宋体" w:cs="Times New Roman"/>
          <w:sz w:val="24"/>
          <w:szCs w:val="24"/>
          <w:lang w:val="ru-RU"/>
        </w:rPr>
      </w:pPr>
      <w:bookmarkStart w:id="2" w:name="OLE_LINK13"/>
      <w:r>
        <w:rPr>
          <w:rFonts w:cs="Times New Roman" w:ascii="Times New Roman" w:hAnsi="Times New Roman"/>
          <w:kern w:val="0"/>
          <w:sz w:val="24"/>
          <w:szCs w:val="24"/>
          <w14:ligatures w14:val="none"/>
        </w:rPr>
        <w:t>Lv</w:t>
      </w:r>
      <w:bookmarkEnd w:id="2"/>
      <w:r>
        <w:rPr>
          <w:rFonts w:cs="Times New Roman" w:ascii="Times New Roman" w:hAnsi="Times New Roman"/>
          <w:kern w:val="0"/>
          <w:sz w:val="24"/>
          <w:szCs w:val="24"/>
          <w14:ligatures w14:val="none"/>
        </w:rPr>
        <w:t xml:space="preserve"> Hong. Goujian renlei mingyun gongtongti</w:t>
      </w:r>
      <w:r>
        <w:rPr>
          <w:rFonts w:cs="Times New Roman" w:ascii="Times New Roman" w:hAnsi="Times New Roman"/>
          <w:color w:val="000000"/>
          <w:kern w:val="0"/>
          <w:sz w:val="24"/>
          <w:szCs w:val="24"/>
          <w14:ligatures w14:val="none"/>
        </w:rPr>
        <w:t xml:space="preserve"> Shixian gongying gongxiang // Qiushi wang. </w:t>
      </w:r>
      <w:r>
        <w:rPr>
          <w:rFonts w:cs="Times New Roman" w:ascii="Times New Roman" w:hAnsi="Times New Roman"/>
          <w:color w:val="000000"/>
          <w:kern w:val="0"/>
          <w:sz w:val="24"/>
          <w:szCs w:val="24"/>
          <w:lang w:val="ru-RU"/>
          <w14:ligatures w14:val="none"/>
        </w:rPr>
        <w:t>2021.12.07. (</w:t>
      </w:r>
      <w:r>
        <w:rPr>
          <w:rFonts w:cs="Times New Roman" w:ascii="Times New Roman" w:hAnsi="Times New Roman"/>
          <w:kern w:val="0"/>
          <w:sz w:val="24"/>
          <w:szCs w:val="24"/>
          <w:lang w:val="ru-RU"/>
          <w14:ligatures w14:val="none"/>
        </w:rPr>
        <w:t>Люй Хун</w:t>
      </w:r>
      <w:r>
        <w:rPr>
          <w:rFonts w:cs="Times New Roman" w:ascii="Times New Roman" w:hAnsi="Times New Roman"/>
          <w:color w:val="000000"/>
          <w:kern w:val="0"/>
          <w:sz w:val="24"/>
          <w:szCs w:val="24"/>
          <w:lang w:val="ru-RU"/>
          <w14:ligatures w14:val="none"/>
        </w:rPr>
        <w:t xml:space="preserve">. Создание сообщества человеческой судьбы </w:t>
      </w:r>
      <w:r>
        <w:rPr>
          <w:rFonts w:cs="Times New Roman" w:ascii="Times New Roman" w:hAnsi="Times New Roman"/>
          <w:color w:val="000000"/>
          <w:kern w:val="0"/>
          <w:sz w:val="24"/>
          <w:szCs w:val="24"/>
          <w:shd w:fill="FFFFFF" w:val="clear"/>
          <w:lang w:val="ru-RU"/>
          <w14:ligatures w14:val="none"/>
        </w:rPr>
        <w:t>достижение беспроигрышных результатов и совместного использования</w:t>
      </w:r>
      <w:r>
        <w:rPr>
          <w:rFonts w:cs="Times New Roman" w:ascii="Times New Roman" w:hAnsi="Times New Roman"/>
          <w:kern w:val="0"/>
          <w:sz w:val="24"/>
          <w:szCs w:val="24"/>
          <w:lang w:val="ru-RU"/>
          <w14:ligatures w14:val="none"/>
        </w:rPr>
        <w:t xml:space="preserve"> // Цюши ван. 07. 12. 2021.) </w:t>
      </w:r>
      <w:r>
        <w:rPr>
          <w:rFonts w:cs="Times New Roman" w:ascii="Times New Roman" w:hAnsi="Times New Roman"/>
          <w:color w:val="000000"/>
          <w:kern w:val="0"/>
          <w:sz w:val="24"/>
          <w:szCs w:val="24"/>
          <w14:ligatures w14:val="none"/>
        </w:rPr>
        <w:t>URL</w:t>
      </w:r>
      <w:r>
        <w:rPr>
          <w:rFonts w:cs="Times New Roman" w:ascii="Times New Roman" w:hAnsi="Times New Roman"/>
          <w:color w:val="000000"/>
          <w:kern w:val="0"/>
          <w:sz w:val="24"/>
          <w:szCs w:val="24"/>
          <w:lang w:val="ru-RU"/>
          <w14:ligatures w14:val="none"/>
        </w:rPr>
        <w:t xml:space="preserve">: </w:t>
      </w:r>
      <w:r>
        <w:rPr>
          <w:rFonts w:cs="Times New Roman" w:ascii="Times New Roman" w:hAnsi="Times New Roman"/>
          <w:color w:val="000000"/>
          <w:kern w:val="0"/>
          <w:sz w:val="24"/>
          <w:szCs w:val="24"/>
          <w14:ligatures w14:val="none"/>
        </w:rPr>
        <w:t>http</w:t>
      </w:r>
      <w:r>
        <w:rPr>
          <w:rFonts w:cs="Times New Roman" w:ascii="Times New Roman" w:hAnsi="Times New Roman"/>
          <w:color w:val="000000"/>
          <w:kern w:val="0"/>
          <w:sz w:val="24"/>
          <w:szCs w:val="24"/>
          <w:lang w:val="ru-RU"/>
          <w14:ligatures w14:val="none"/>
        </w:rPr>
        <w:t>://</w:t>
      </w:r>
      <w:r>
        <w:rPr>
          <w:rFonts w:cs="Times New Roman" w:ascii="Times New Roman" w:hAnsi="Times New Roman"/>
          <w:color w:val="000000"/>
          <w:kern w:val="0"/>
          <w:sz w:val="24"/>
          <w:szCs w:val="24"/>
          <w14:ligatures w14:val="none"/>
        </w:rPr>
        <w:t>www</w:t>
      </w:r>
      <w:r>
        <w:rPr>
          <w:rFonts w:cs="Times New Roman" w:ascii="Times New Roman" w:hAnsi="Times New Roman"/>
          <w:color w:val="000000"/>
          <w:kern w:val="0"/>
          <w:sz w:val="24"/>
          <w:szCs w:val="24"/>
          <w:lang w:val="ru-RU"/>
          <w14:ligatures w14:val="none"/>
        </w:rPr>
        <w:t>.</w:t>
      </w:r>
      <w:r>
        <w:rPr>
          <w:rFonts w:cs="Times New Roman" w:ascii="Times New Roman" w:hAnsi="Times New Roman"/>
          <w:color w:val="000000"/>
          <w:kern w:val="0"/>
          <w:sz w:val="24"/>
          <w:szCs w:val="24"/>
          <w14:ligatures w14:val="none"/>
        </w:rPr>
        <w:t>qstheory</w:t>
      </w:r>
      <w:r>
        <w:rPr>
          <w:rFonts w:cs="Times New Roman" w:ascii="Times New Roman" w:hAnsi="Times New Roman"/>
          <w:color w:val="000000"/>
          <w:kern w:val="0"/>
          <w:sz w:val="24"/>
          <w:szCs w:val="24"/>
          <w:lang w:val="ru-RU"/>
          <w14:ligatures w14:val="none"/>
        </w:rPr>
        <w:t>.</w:t>
      </w:r>
      <w:r>
        <w:rPr>
          <w:rFonts w:cs="Times New Roman" w:ascii="Times New Roman" w:hAnsi="Times New Roman"/>
          <w:color w:val="000000"/>
          <w:kern w:val="0"/>
          <w:sz w:val="24"/>
          <w:szCs w:val="24"/>
          <w14:ligatures w14:val="none"/>
        </w:rPr>
        <w:t>cn</w:t>
      </w:r>
      <w:r>
        <w:rPr>
          <w:rFonts w:cs="Times New Roman" w:ascii="Times New Roman" w:hAnsi="Times New Roman"/>
          <w:color w:val="000000"/>
          <w:kern w:val="0"/>
          <w:sz w:val="24"/>
          <w:szCs w:val="24"/>
          <w:lang w:val="ru-RU"/>
          <w14:ligatures w14:val="none"/>
        </w:rPr>
        <w:t>/</w:t>
      </w:r>
      <w:r>
        <w:rPr>
          <w:rFonts w:cs="Times New Roman" w:ascii="Times New Roman" w:hAnsi="Times New Roman"/>
          <w:color w:val="000000"/>
          <w:kern w:val="0"/>
          <w:sz w:val="24"/>
          <w:szCs w:val="24"/>
          <w14:ligatures w14:val="none"/>
        </w:rPr>
        <w:t>qshyjx</w:t>
      </w:r>
      <w:r>
        <w:rPr>
          <w:rFonts w:cs="Times New Roman" w:ascii="Times New Roman" w:hAnsi="Times New Roman"/>
          <w:color w:val="000000"/>
          <w:kern w:val="0"/>
          <w:sz w:val="24"/>
          <w:szCs w:val="24"/>
          <w:lang w:val="ru-RU"/>
          <w14:ligatures w14:val="none"/>
        </w:rPr>
        <w:t>/2021-12/07/</w:t>
      </w:r>
      <w:r>
        <w:rPr>
          <w:rFonts w:cs="Times New Roman" w:ascii="Times New Roman" w:hAnsi="Times New Roman"/>
          <w:color w:val="000000"/>
          <w:kern w:val="0"/>
          <w:sz w:val="24"/>
          <w:szCs w:val="24"/>
          <w14:ligatures w14:val="none"/>
        </w:rPr>
        <w:t>c</w:t>
      </w:r>
      <w:r>
        <w:rPr>
          <w:rFonts w:cs="Times New Roman" w:ascii="Times New Roman" w:hAnsi="Times New Roman"/>
          <w:color w:val="000000"/>
          <w:kern w:val="0"/>
          <w:sz w:val="24"/>
          <w:szCs w:val="24"/>
          <w:lang w:val="ru-RU"/>
          <w14:ligatures w14:val="none"/>
        </w:rPr>
        <w:t>_1128138460.</w:t>
      </w:r>
      <w:r>
        <w:rPr>
          <w:rFonts w:cs="Times New Roman" w:ascii="Times New Roman" w:hAnsi="Times New Roman"/>
          <w:color w:val="000000"/>
          <w:kern w:val="0"/>
          <w:sz w:val="24"/>
          <w:szCs w:val="24"/>
          <w14:ligatures w14:val="none"/>
        </w:rPr>
        <w:t>htm</w:t>
      </w:r>
      <w:r>
        <w:rPr>
          <w:rFonts w:cs="Times New Roman" w:ascii="Times New Roman" w:hAnsi="Times New Roman"/>
          <w:color w:val="000000"/>
          <w:kern w:val="0"/>
          <w:sz w:val="24"/>
          <w:szCs w:val="24"/>
          <w:lang w:val="ru-RU"/>
          <w14:ligatures w14:val="none"/>
        </w:rPr>
        <w:t xml:space="preserve"> (дата обращения : 25.02.2024). (на китайском).</w:t>
      </w:r>
    </w:p>
    <w:p>
      <w:pPr>
        <w:pStyle w:val="Normal"/>
        <w:ind w:firstLine="709"/>
        <w:jc w:val="left"/>
        <w:rPr>
          <w:rFonts w:ascii="Times New Roman" w:hAnsi="Times New Roman" w:eastAsia="宋体" w:cs="Times New Roman"/>
          <w:sz w:val="24"/>
          <w:szCs w:val="24"/>
          <w:lang w:val="ru-RU"/>
        </w:rPr>
      </w:pPr>
      <w:r>
        <w:rPr/>
      </w:r>
    </w:p>
    <w:sectPr>
      <w:type w:val="nextPage"/>
      <w:pgSz w:w="11906" w:h="16838"/>
      <w:pgMar w:left="1701" w:right="851" w:gutter="0" w:header="0" w:top="1418" w:footer="0" w:bottom="1418"/>
      <w:pgNumType w:fmt="decimal"/>
      <w:formProt w:val="false"/>
      <w:textDirection w:val="lrTb"/>
      <w:docGrid w:type="lines" w:linePitch="312"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等线">
    <w:charset w:val="01"/>
    <w:family w:val="roman"/>
    <w:pitch w:val="variable"/>
  </w:font>
  <w:font w:name="Liberation Sans">
    <w:altName w:val="Arial"/>
    <w:charset w:val="01"/>
    <w:family w:val="swiss"/>
    <w:pitch w:val="variable"/>
  </w:font>
  <w:font w:name="Times New Roman">
    <w:altName w:val="serif"/>
    <w:charset w:val="01"/>
    <w:family w:val="auto"/>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z w:val="18"/>
        <w:szCs w:val="18"/>
        <w:rFonts w:ascii="Times New Roman" w:hAnsi="Times New Roman" w:eastAsia="等线" w:cs="Times New Roman" w:eastAsiaTheme="minorEastAsia"/>
        <w:color w:val="000000"/>
      </w:rPr>
    </w:lvl>
    <w:lvl w:ilvl="1">
      <w:start w:val="1"/>
      <w:numFmt w:val="lowerLetter"/>
      <w:lvlText w:val="%2)"/>
      <w:lvlJc w:val="left"/>
      <w:pPr>
        <w:tabs>
          <w:tab w:val="num" w:pos="0"/>
        </w:tabs>
        <w:ind w:left="880" w:hanging="440"/>
      </w:pPr>
      <w:rPr/>
    </w:lvl>
    <w:lvl w:ilvl="2">
      <w:start w:val="1"/>
      <w:numFmt w:val="lowerRoman"/>
      <w:lvlText w:val="%3."/>
      <w:lvlJc w:val="right"/>
      <w:pPr>
        <w:tabs>
          <w:tab w:val="num" w:pos="0"/>
        </w:tabs>
        <w:ind w:left="1320" w:hanging="440"/>
      </w:pPr>
      <w:rPr/>
    </w:lvl>
    <w:lvl w:ilvl="3">
      <w:start w:val="1"/>
      <w:numFmt w:val="decimal"/>
      <w:lvlText w:val="%4."/>
      <w:lvlJc w:val="left"/>
      <w:pPr>
        <w:tabs>
          <w:tab w:val="num" w:pos="0"/>
        </w:tabs>
        <w:ind w:left="1760" w:hanging="440"/>
      </w:pPr>
      <w:rPr/>
    </w:lvl>
    <w:lvl w:ilvl="4">
      <w:start w:val="1"/>
      <w:numFmt w:val="lowerLetter"/>
      <w:lvlText w:val="%5)"/>
      <w:lvlJc w:val="left"/>
      <w:pPr>
        <w:tabs>
          <w:tab w:val="num" w:pos="0"/>
        </w:tabs>
        <w:ind w:left="2200" w:hanging="440"/>
      </w:pPr>
      <w:rPr/>
    </w:lvl>
    <w:lvl w:ilvl="5">
      <w:start w:val="1"/>
      <w:numFmt w:val="lowerRoman"/>
      <w:lvlText w:val="%6."/>
      <w:lvlJc w:val="right"/>
      <w:pPr>
        <w:tabs>
          <w:tab w:val="num" w:pos="0"/>
        </w:tabs>
        <w:ind w:left="2640" w:hanging="440"/>
      </w:pPr>
      <w:rPr/>
    </w:lvl>
    <w:lvl w:ilvl="6">
      <w:start w:val="1"/>
      <w:numFmt w:val="decimal"/>
      <w:lvlText w:val="%7."/>
      <w:lvlJc w:val="left"/>
      <w:pPr>
        <w:tabs>
          <w:tab w:val="num" w:pos="0"/>
        </w:tabs>
        <w:ind w:left="3080" w:hanging="440"/>
      </w:pPr>
      <w:rPr/>
    </w:lvl>
    <w:lvl w:ilvl="7">
      <w:start w:val="1"/>
      <w:numFmt w:val="lowerLetter"/>
      <w:lvlText w:val="%8)"/>
      <w:lvlJc w:val="left"/>
      <w:pPr>
        <w:tabs>
          <w:tab w:val="num" w:pos="0"/>
        </w:tabs>
        <w:ind w:left="3520" w:hanging="440"/>
      </w:pPr>
      <w:rPr/>
    </w:lvl>
    <w:lvl w:ilvl="8">
      <w:start w:val="1"/>
      <w:numFmt w:val="lowerRoman"/>
      <w:lvlText w:val="%9."/>
      <w:lvlJc w:val="right"/>
      <w:pPr>
        <w:tabs>
          <w:tab w:val="num" w:pos="0"/>
        </w:tabs>
        <w:ind w:left="396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4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等线" w:hAnsi="等线" w:eastAsia="等线" w:cs="Arial" w:asciiTheme="minorHAnsi" w:cstheme="minorBidi" w:eastAsiaTheme="minorEastAsia" w:hAnsiTheme="minorHAnsi"/>
        <w:kern w:val="2"/>
        <w:sz w:val="21"/>
        <w:szCs w:val="22"/>
        <w:lang w:val="en-US" w:eastAsia="zh-CN"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等线" w:hAnsi="等线" w:eastAsia="等线" w:cs="Arial" w:asciiTheme="minorHAnsi" w:cstheme="minorBidi" w:eastAsiaTheme="minorEastAsia" w:hAnsiTheme="minorHAnsi"/>
      <w:color w:val="auto"/>
      <w:kern w:val="2"/>
      <w:sz w:val="21"/>
      <w:szCs w:val="22"/>
      <w:lang w:val="en-US" w:eastAsia="zh-CN" w:bidi="ar-SA"/>
      <w14:ligatures w14:val="standardContextual"/>
    </w:rPr>
  </w:style>
  <w:style w:type="character" w:styleId="DefaultParagraphFont" w:default="1">
    <w:name w:val="Default Paragraph Font"/>
    <w:uiPriority w:val="1"/>
    <w:semiHidden/>
    <w:unhideWhenUsed/>
    <w:qFormat/>
    <w:rPr/>
  </w:style>
  <w:style w:type="character" w:styleId="Style14" w:customStyle="1">
    <w:name w:val="页眉 字符"/>
    <w:basedOn w:val="DefaultParagraphFont"/>
    <w:uiPriority w:val="99"/>
    <w:qFormat/>
    <w:rsid w:val="001f66b1"/>
    <w:rPr>
      <w:sz w:val="18"/>
      <w:szCs w:val="18"/>
    </w:rPr>
  </w:style>
  <w:style w:type="character" w:styleId="Style15" w:customStyle="1">
    <w:name w:val="页脚 字符"/>
    <w:basedOn w:val="DefaultParagraphFont"/>
    <w:uiPriority w:val="99"/>
    <w:qFormat/>
    <w:rsid w:val="001f66b1"/>
    <w:rPr>
      <w:sz w:val="18"/>
      <w:szCs w:val="18"/>
    </w:rPr>
  </w:style>
  <w:style w:type="character" w:styleId="Style16" w:customStyle="1">
    <w:name w:val="脚注文本 字符"/>
    <w:basedOn w:val="DefaultParagraphFont"/>
    <w:uiPriority w:val="99"/>
    <w:semiHidden/>
    <w:qFormat/>
    <w:rsid w:val="00fa6eed"/>
    <w:rPr>
      <w:sz w:val="18"/>
      <w:szCs w:val="18"/>
    </w:rPr>
  </w:style>
  <w:style w:type="character" w:styleId="Style17">
    <w:name w:val="Символ сноски"/>
    <w:basedOn w:val="DefaultParagraphFont"/>
    <w:uiPriority w:val="99"/>
    <w:semiHidden/>
    <w:unhideWhenUsed/>
    <w:qFormat/>
    <w:rsid w:val="00fa6eed"/>
    <w:rPr>
      <w:vertAlign w:val="superscript"/>
    </w:rPr>
  </w:style>
  <w:style w:type="character" w:styleId="Style18">
    <w:name w:val="Привязка сноски"/>
    <w:rPr>
      <w:vertAlign w:val="superscript"/>
    </w:rPr>
  </w:style>
  <w:style w:type="paragraph" w:styleId="Style19">
    <w:name w:val="Заголовок"/>
    <w:basedOn w:val="Normal"/>
    <w:next w:val="Style20"/>
    <w:qFormat/>
    <w:pPr>
      <w:keepNext w:val="true"/>
      <w:spacing w:before="240" w:after="120"/>
    </w:pPr>
    <w:rPr>
      <w:rFonts w:ascii="Liberation Sans" w:hAnsi="Liberation Sans" w:eastAsia="Noto Sans CJK SC" w:cs="Lohit Devanagari"/>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ohit Devanagari"/>
    </w:rPr>
  </w:style>
  <w:style w:type="paragraph" w:styleId="Style22">
    <w:name w:val="Caption"/>
    <w:basedOn w:val="Normal"/>
    <w:qFormat/>
    <w:pPr>
      <w:suppressLineNumbers/>
      <w:spacing w:before="120" w:after="120"/>
    </w:pPr>
    <w:rPr>
      <w:rFonts w:cs="Lohit Devanagari"/>
      <w:i/>
      <w:iCs/>
      <w:sz w:val="24"/>
      <w:szCs w:val="24"/>
    </w:rPr>
  </w:style>
  <w:style w:type="paragraph" w:styleId="Style23">
    <w:name w:val="Указатель"/>
    <w:basedOn w:val="Normal"/>
    <w:qFormat/>
    <w:pPr>
      <w:suppressLineNumbers/>
    </w:pPr>
    <w:rPr>
      <w:rFonts w:cs="Lohit Devanagari"/>
    </w:rPr>
  </w:style>
  <w:style w:type="paragraph" w:styleId="Style24">
    <w:name w:val="Колонтитул"/>
    <w:basedOn w:val="Normal"/>
    <w:qFormat/>
    <w:pPr/>
    <w:rPr/>
  </w:style>
  <w:style w:type="paragraph" w:styleId="Style25">
    <w:name w:val="Header"/>
    <w:basedOn w:val="Normal"/>
    <w:link w:val="Style14"/>
    <w:uiPriority w:val="99"/>
    <w:unhideWhenUsed/>
    <w:rsid w:val="001f66b1"/>
    <w:pPr>
      <w:tabs>
        <w:tab w:val="clear" w:pos="420"/>
        <w:tab w:val="center" w:pos="4153" w:leader="none"/>
        <w:tab w:val="right" w:pos="8306" w:leader="none"/>
      </w:tabs>
      <w:snapToGrid w:val="false"/>
      <w:jc w:val="center"/>
    </w:pPr>
    <w:rPr>
      <w:sz w:val="18"/>
      <w:szCs w:val="18"/>
    </w:rPr>
  </w:style>
  <w:style w:type="paragraph" w:styleId="Style26">
    <w:name w:val="Footer"/>
    <w:basedOn w:val="Normal"/>
    <w:link w:val="Style15"/>
    <w:uiPriority w:val="99"/>
    <w:unhideWhenUsed/>
    <w:rsid w:val="001f66b1"/>
    <w:pPr>
      <w:tabs>
        <w:tab w:val="clear" w:pos="420"/>
        <w:tab w:val="center" w:pos="4153" w:leader="none"/>
        <w:tab w:val="right" w:pos="8306" w:leader="none"/>
      </w:tabs>
      <w:snapToGrid w:val="false"/>
      <w:jc w:val="left"/>
    </w:pPr>
    <w:rPr>
      <w:sz w:val="18"/>
      <w:szCs w:val="18"/>
    </w:rPr>
  </w:style>
  <w:style w:type="paragraph" w:styleId="Style27">
    <w:name w:val="Footnote Text"/>
    <w:basedOn w:val="Normal"/>
    <w:link w:val="Style16"/>
    <w:uiPriority w:val="99"/>
    <w:semiHidden/>
    <w:unhideWhenUsed/>
    <w:rsid w:val="00fa6eed"/>
    <w:pPr>
      <w:snapToGrid w:val="false"/>
      <w:jc w:val="left"/>
    </w:pPr>
    <w:rPr>
      <w:sz w:val="18"/>
      <w:szCs w:val="18"/>
    </w:rPr>
  </w:style>
  <w:style w:type="paragraph" w:styleId="ListParagraph">
    <w:name w:val="List Paragraph"/>
    <w:basedOn w:val="Normal"/>
    <w:uiPriority w:val="34"/>
    <w:qFormat/>
    <w:rsid w:val="00fa6eed"/>
    <w:pPr>
      <w:ind w:firstLine="42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D270E-D8C7-41BC-8DE7-93505A3F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Application>LibreOffice/7.3.7.2$Linux_X86_64 LibreOffice_project/30$Build-2</Application>
  <AppVersion>15.0000</AppVersion>
  <Pages>2</Pages>
  <Words>578</Words>
  <Characters>4290</Characters>
  <CharactersWithSpaces>4852</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2024-02-24T09:37:00Z</dcterms:created>
  <dc:creator>Сюе Сяохань</dc:creator>
  <dc:description/>
  <dc:language>ru-RU</dc:language>
  <cp:lastModifiedBy/>
  <dcterms:modified xsi:type="dcterms:W3CDTF">2024-04-27T15:04:24Z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