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1"/>
        <w:jc w:val="center"/>
        <w:rPr>
          <w:b w:val="false"/>
          <w:b w:val="false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szCs w:val="28"/>
          <w:u w:val="none"/>
          <w:effect w:val="none"/>
          <w:shd w:fill="auto" w:val="clear"/>
        </w:rPr>
        <w:t>Трансформация российского таможенного права под влиянием Евразийской интеграции</w:t>
      </w:r>
    </w:p>
    <w:p>
      <w:pPr>
        <w:pStyle w:val="Style11"/>
        <w:bidi w:val="0"/>
        <w:spacing w:lineRule="auto" w:line="307" w:before="0" w:after="0"/>
        <w:jc w:val="center"/>
        <w:rPr>
          <w:rFonts w:ascii="Times New Roman;serif" w:hAnsi="Times New Roman;serif"/>
          <w:b/>
          <w:b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Дыгданова Е.И.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1</w:t>
      </w:r>
    </w:p>
    <w:p>
      <w:pPr>
        <w:pStyle w:val="Style11"/>
        <w:bidi w:val="0"/>
        <w:spacing w:lineRule="auto" w:line="307" w:before="0" w:after="0"/>
        <w:jc w:val="center"/>
        <w:rPr>
          <w:rFonts w:ascii="Times New Roman;serif" w:hAnsi="Times New Roman;serif"/>
          <w:b/>
          <w:b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Момотова Е.М.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2</w:t>
      </w:r>
    </w:p>
    <w:p>
      <w:pPr>
        <w:pStyle w:val="Style11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1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Северо-Западный институт (филиал) Московского государственного юридического университет имени О.Е. Кутафина (МГЮА), Студент (бакалавр), 2025</w:t>
      </w:r>
    </w:p>
    <w:p>
      <w:pPr>
        <w:pStyle w:val="Style11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dygdanovaliza@icloud.com</w:t>
      </w:r>
    </w:p>
    <w:p>
      <w:pPr>
        <w:pStyle w:val="Style11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/>
      </w:r>
    </w:p>
    <w:p>
      <w:pPr>
        <w:pStyle w:val="Style11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2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Северо-Западный институт (филиал) Московского государственного юридического университет имени О.Е. Кутафина (МГЮА), Студент (бакалавр), 2025</w:t>
      </w:r>
    </w:p>
    <w:p>
      <w:pPr>
        <w:pStyle w:val="Style11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ketrin18@inbox.ru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В учебной литературе нет единого мнения о месте таможенного права в системе российского права. Политика ЕАЭС по разработке и реализации совместной деятельности государств-членов, способствует усложнению системы источников таможенного права. Так, А.Ф. Алгазина считает, что таможенное право представляет собой совокупность международного права, интеграционного права и национального [1].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С целью наиболее полного анализа современного таможенного права Российской Федерации необходимо досконально изучить нормативную - правовую основу деятельности Европейского экономического союза (ЕАЭС), а также основополагающие документы торговой политики Союза. </w:t>
      </w:r>
    </w:p>
    <w:p>
      <w:pPr>
        <w:pStyle w:val="Normal"/>
        <w:jc w:val="both"/>
        <w:rPr/>
      </w:pPr>
      <w:r>
        <w:rPr>
          <w:sz w:val="28"/>
          <w:szCs w:val="28"/>
        </w:rPr>
        <w:t>В 2012 году был создан общий рынок России, Беларуси и Казахстана и установлен принцип «четырех свобод» − движения товаров, капиталов, услуг и рабочей силы. Уже 1 января 2015 г. Вступил а силу Договор о Евразийском экономическом союзе (ЕАЭС), подписанный президентами Белоруссии, Казахстана и России в ходе заседания Высшего Евразийского экономического совета (ВЕЭС) 29 мая 2014 г [2].1 января 2018 года вступил в силу Таможенный Кодекс Евразийского экономического союза (далее - ТК ЕАЭС). Договор о ТК ЕАЭС [4] для Российской Федерации вступил в действие после принятия Федерального закона от 26 октября 2017 г. «О ратификации Договора о ТК ЕАЭС» [6]. Действующий ТК ЕАЭС представляет собой нормативно правовой акт, который включает совместные таможенные нормы государств-членов. В частности, к ним относятся Республика Армения, Республика Беларусь, Республика Казахстан, Кыргызская Республика, Российская Федерация.</w:t>
      </w:r>
    </w:p>
    <w:p>
      <w:pPr>
        <w:pStyle w:val="Normal"/>
        <w:jc w:val="both"/>
        <w:rPr/>
      </w:pPr>
      <w:r>
        <w:rPr>
          <w:sz w:val="28"/>
          <w:szCs w:val="28"/>
        </w:rPr>
        <w:t>Принятие ТК ЕАЭС, привнесло ряд существенных улучшений, например в сравнении с Таможенным кодексом Таможенного союза 2010 г [4]. Во-первых, ТК ЕАЭС утвердил электронную таможенную процедуру, теперь документы на бумажном носителе будет лишь дублировать информацию. Это позволяет ускорить и упростить процесс на всех его стадиях. Во-вторых, снизятся временные затраты на таможенную очистку. В соответствии с ТК ЕАЭС не позднее 4 часов после регистрации таможенной декларации, должен быть осуществлён выпуск товаров, которые помещены под таможенную процедуру таможенного транзита. В свою очередь, ранее этот срок был не позднее одного рабочего дня. Также если сравнивать максимальный срок, предназначенный для выпуска товаров, то настоящий Кодекс снизил срок с 10 до 5 дней.</w:t>
      </w:r>
      <w:r>
        <w:rPr>
          <w:rFonts w:ascii="Roboto" w:hAnsi="Roboto"/>
          <w:color w:val="000000"/>
          <w:sz w:val="20"/>
          <w:szCs w:val="20"/>
          <w:shd w:fill="FFFFFF" w:val="clear"/>
        </w:rPr>
        <w:t xml:space="preserve"> </w:t>
      </w:r>
      <w:r>
        <w:rPr>
          <w:sz w:val="28"/>
          <w:szCs w:val="28"/>
        </w:rPr>
        <w:t>В-третьих, на момент действия ТК ТС, всего лишь малая часть таможенных процедур была зафиксирована в кодексе, остальные регулировались национальным и международным законодательством. В свою очередь, действующий ТК ЕАЭС регулирует исчерпывающий перечень таможенных процедур [5].</w:t>
      </w:r>
    </w:p>
    <w:p>
      <w:pPr>
        <w:pStyle w:val="Normal"/>
        <w:jc w:val="both"/>
        <w:rPr/>
      </w:pPr>
      <w:r>
        <w:rPr>
          <w:sz w:val="28"/>
          <w:szCs w:val="28"/>
        </w:rPr>
        <w:t>Решением ВЕЭС от 11 декабря 2020 г. №12 утверждена "Стратегическая направлений развития евразийской экономической интеграции до 2025 года". На данный момент это документ является единственным, который консолидировал направления совершенствования таможенной политики ЕАЭС [3].</w:t>
      </w:r>
    </w:p>
    <w:p>
      <w:pPr>
        <w:pStyle w:val="Normal"/>
        <w:jc w:val="both"/>
        <w:rPr/>
      </w:pPr>
      <w:r>
        <w:rPr>
          <w:sz w:val="28"/>
          <w:szCs w:val="28"/>
        </w:rPr>
        <w:t>Следует отметить, что у стран-членов ЕАЭС существует единый внешний контур торгового регулирования. Меры внешнеторгового регулирования переданы на наднациональный уровень, полномочия осуществляет ЕЭК ЕАЭС. В первую очередь это установление таможенных пошлин и применение мер нетарифного регулирования для третьих стран. Исключительные случаи применения мер нетарифного регулирования отдельными странами ограничены сроком и основаниями.</w:t>
      </w:r>
    </w:p>
    <w:p>
      <w:pPr>
        <w:pStyle w:val="Normal"/>
        <w:jc w:val="both"/>
        <w:rPr/>
      </w:pPr>
      <w:r>
        <w:rPr>
          <w:sz w:val="28"/>
          <w:szCs w:val="28"/>
        </w:rPr>
        <w:t>Раздел 9 Договора о ЕАЭС содержит нормы автономного режима торговой политики Союза, а также предусматривает регулирование мер внешнеторговой политики, реализующиеся посредствам заключения международных договоров с третьими странами и международными организациями. Положения раздела устанавливают полное регулирование заключения международных договоров в торговой сфере ЕЭК и устанавливает компетенцию ЕЭК по координации ведения переговоров между государствами ЕАЭС и третьими странами в сфере услуг.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Подводя итог, следует подчеркнуть, что ЕАЭС является частью торговой политики государств-членов. А торговая политика — это часть экономической и таможенной политики государства, которая направлена на определение и применения внешней торговли товарами и услугами. На данном этапе развития, когда РФ является государством-членом ЕАЭС и для регулирования отношений, связанных с ввозом товаров на его территорию, применяет интеграционное таможенное законодательство, создаются предпосылки для трансформации таможенного права из отрасли российского в отрасль евразийского права с сохранением его комплексного характера. </w:t>
      </w:r>
    </w:p>
    <w:p>
      <w:pPr>
        <w:pStyle w:val="Normal"/>
        <w:jc w:val="both"/>
        <w:rPr/>
      </w:pPr>
      <w:r>
        <w:rPr>
          <w:sz w:val="28"/>
          <w:szCs w:val="28"/>
        </w:rPr>
        <w:t>Литература:</w:t>
      </w:r>
    </w:p>
    <w:p>
      <w:pPr>
        <w:pStyle w:val="Normal"/>
        <w:spacing w:before="240" w:after="0"/>
        <w:jc w:val="both"/>
        <w:rPr/>
      </w:pPr>
      <w:r>
        <w:rPr>
          <w:rFonts w:cs="Calibri" w:cstheme="minorHAnsi"/>
          <w:sz w:val="28"/>
          <w:szCs w:val="28"/>
        </w:rPr>
        <w:t>1.Алгазина А.Ф. Развитие таможенного права в свете евразийской интеграции. Правоприменение. 2018;2(3):72-77. </w:t>
      </w:r>
      <w:hyperlink r:id="rId2" w:tgtFrame="_blank">
        <w:r>
          <w:rPr>
            <w:rFonts w:cs="Calibri" w:cstheme="minorHAnsi"/>
            <w:sz w:val="28"/>
            <w:szCs w:val="28"/>
          </w:rPr>
          <w:t>https://doi.org/10.24147/2542-1514.2018.2(3).72-77</w:t>
        </w:r>
      </w:hyperlink>
    </w:p>
    <w:p>
      <w:pPr>
        <w:pStyle w:val="Normal"/>
        <w:spacing w:before="240" w:after="0"/>
        <w:jc w:val="both"/>
        <w:rPr/>
      </w:pPr>
      <w:r>
        <w:rPr>
          <w:rFonts w:cs="Calibri" w:cstheme="minorHAnsi"/>
          <w:sz w:val="28"/>
          <w:szCs w:val="28"/>
        </w:rPr>
        <w:t>2.Договор о Евразийском экономическом союзе (подп. 29 мая 2014 г., в ред. Протокола от 8 мая 2015 г., вст. в силу с 1 января 2018 г., ратиф. В России Федеральным законом от 14 ноября 2017 г. № 317-ФЗ) // Официальный интернет-портал правовой информации. - http://www.pravo.gov.ru</w:t>
      </w:r>
    </w:p>
    <w:p>
      <w:pPr>
        <w:pStyle w:val="Normal"/>
        <w:spacing w:before="240" w:after="0"/>
        <w:jc w:val="both"/>
        <w:rPr/>
      </w:pPr>
      <w:r>
        <w:rPr>
          <w:rFonts w:cs="Calibri" w:cstheme="minorHAnsi"/>
          <w:sz w:val="28"/>
          <w:szCs w:val="28"/>
        </w:rPr>
        <w:t xml:space="preserve">3.Решение Высшего Евразийского экономического совета от 11.12.2020 </w:t>
      </w:r>
      <w:bookmarkStart w:id="0" w:name="_Hlk153634047"/>
      <w:r>
        <w:rPr>
          <w:rFonts w:cs="Calibri" w:cstheme="minorHAnsi"/>
          <w:sz w:val="28"/>
          <w:szCs w:val="28"/>
        </w:rPr>
        <w:t>N 12 "О Стратегических направлениях развития Евразийской экономической интеграции до 2025 года"// СПС КонсультантПлюс</w:t>
      </w:r>
      <w:bookmarkEnd w:id="0"/>
      <w:r>
        <w:rPr>
          <w:rFonts w:cs="Calibri" w:cstheme="minorHAnsi"/>
          <w:sz w:val="28"/>
          <w:szCs w:val="28"/>
        </w:rPr>
        <w:t>.</w:t>
      </w:r>
    </w:p>
    <w:p>
      <w:pPr>
        <w:pStyle w:val="Normal"/>
        <w:spacing w:before="240" w:after="0"/>
        <w:jc w:val="both"/>
        <w:rPr/>
      </w:pPr>
      <w:r>
        <w:rPr>
          <w:rFonts w:cs="Calibri" w:cstheme="minorHAnsi"/>
          <w:sz w:val="28"/>
          <w:szCs w:val="28"/>
        </w:rPr>
        <w:t>4.Таможенный кодекс Таможенного союза (приложение к Договору о Таможенном кодексе таможенного союза, принятому Решением Межгосударственного Совета Евразийского экономического сообщества от 27 ноября 2009 г. N 17) // Собрание законодательства РФ. — 2010. — № 50. — Ст.6615;</w:t>
        <w:br/>
        <w:br/>
        <w:t>5.Шуваев, А. В. Различие таможенного регулирования при действии Таможенного кодекса ЕАЭС и Таможенного кодекса ТС / А. В. Шуваев, С. А. Синицына. — Текст : непосредственный // Молодой ученый. — 2020. — № 46 (336). — С. 381-383. — URL: https://moluch.ru/archive/336/75038/ (дата обращения: 9.02.2024).</w:t>
      </w:r>
    </w:p>
    <w:p>
      <w:pPr>
        <w:pStyle w:val="Normal"/>
        <w:spacing w:before="240" w:after="0"/>
        <w:jc w:val="both"/>
        <w:rPr/>
      </w:pPr>
      <w:r>
        <w:rPr>
          <w:rFonts w:cs="Calibri" w:cstheme="minorHAnsi"/>
          <w:sz w:val="28"/>
          <w:szCs w:val="28"/>
        </w:rPr>
        <w:t>6.Федеральный закон от 2 июня 2010 г. N 114-ФЗ «О ратификации Договора о Таможенном кодексе таможенного союза» // «Российская газета». — 04.06.2010. — № 121;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Robot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7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74e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3074e2"/>
    <w:pPr>
      <w:keepNext w:val="true"/>
      <w:keepLines/>
      <w:spacing w:before="240" w:after="0"/>
      <w:outlineLvl w:val="0"/>
    </w:pPr>
    <w:rPr>
      <w:rFonts w:ascii="Calibri Light" w:hAnsi="Calibri Light" w:eastAsia="SimSun" w:cs="Times New Roman"/>
      <w:color w:val="2E74B5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3074e2"/>
    <w:pPr>
      <w:keepNext w:val="true"/>
      <w:keepLines/>
      <w:spacing w:before="40" w:after="0"/>
      <w:outlineLvl w:val="1"/>
    </w:pPr>
    <w:rPr>
      <w:rFonts w:ascii="Calibri Light" w:hAnsi="Calibri Light" w:eastAsia="SimSun" w:cs="Times New Roman"/>
      <w:color w:val="2E74B5"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3074e2"/>
    <w:pPr>
      <w:keepNext w:val="true"/>
      <w:keepLines/>
      <w:spacing w:before="40" w:after="0"/>
      <w:outlineLvl w:val="2"/>
    </w:pPr>
    <w:rPr>
      <w:rFonts w:ascii="Calibri Light" w:hAnsi="Calibri Light" w:eastAsia="SimSun" w:cs="Times New Roman"/>
      <w:color w:val="1F4E79"/>
      <w:sz w:val="24"/>
      <w:szCs w:val="24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3074e2"/>
    <w:pPr>
      <w:keepNext w:val="true"/>
      <w:keepLines/>
      <w:spacing w:before="40" w:after="0"/>
      <w:outlineLvl w:val="3"/>
    </w:pPr>
    <w:rPr>
      <w:i/>
      <w:iCs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3074e2"/>
    <w:pPr>
      <w:keepNext w:val="true"/>
      <w:keepLines/>
      <w:spacing w:before="40" w:after="0"/>
      <w:outlineLvl w:val="4"/>
    </w:pPr>
    <w:rPr>
      <w:color w:val="2E74B5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3074e2"/>
    <w:pPr>
      <w:keepNext w:val="true"/>
      <w:keepLines/>
      <w:spacing w:before="40" w:after="0"/>
      <w:outlineLvl w:val="5"/>
    </w:pPr>
    <w:rPr>
      <w:color w:val="1F4E79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3074e2"/>
    <w:pPr>
      <w:keepNext w:val="true"/>
      <w:keepLines/>
      <w:spacing w:before="40" w:after="0"/>
      <w:outlineLvl w:val="6"/>
    </w:pPr>
    <w:rPr>
      <w:rFonts w:ascii="Calibri Light" w:hAnsi="Calibri Light" w:eastAsia="SimSun" w:cs="Times New Roman"/>
      <w:i/>
      <w:iCs/>
      <w:color w:val="1F4E79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3074e2"/>
    <w:pPr>
      <w:keepNext w:val="true"/>
      <w:keepLines/>
      <w:spacing w:before="40" w:after="0"/>
      <w:outlineLvl w:val="7"/>
    </w:pPr>
    <w:rPr>
      <w:color w:val="262626"/>
      <w:sz w:val="21"/>
      <w:szCs w:val="21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3074e2"/>
    <w:pPr>
      <w:keepNext w:val="true"/>
      <w:keepLines/>
      <w:spacing w:before="40" w:after="0"/>
      <w:outlineLvl w:val="8"/>
    </w:pPr>
    <w:rPr>
      <w:rFonts w:ascii="Calibri Light" w:hAnsi="Calibri Light" w:eastAsia="SimSun" w:cs="Times New Roman"/>
      <w:i/>
      <w:iCs/>
      <w:color w:val="262626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3074e2"/>
    <w:rPr>
      <w:rFonts w:ascii="Calibri Light" w:hAnsi="Calibri Light" w:eastAsia="SimSun" w:cs="Times New Roman"/>
      <w:color w:val="2E74B5"/>
      <w:sz w:val="32"/>
      <w:szCs w:val="32"/>
    </w:rPr>
  </w:style>
  <w:style w:type="character" w:styleId="21" w:customStyle="1">
    <w:name w:val="Заголовок 2 Знак"/>
    <w:uiPriority w:val="9"/>
    <w:semiHidden/>
    <w:qFormat/>
    <w:rsid w:val="003074e2"/>
    <w:rPr>
      <w:rFonts w:ascii="Calibri Light" w:hAnsi="Calibri Light" w:eastAsia="SimSun" w:cs="Times New Roman"/>
      <w:color w:val="2E74B5"/>
      <w:sz w:val="28"/>
      <w:szCs w:val="28"/>
    </w:rPr>
  </w:style>
  <w:style w:type="character" w:styleId="31" w:customStyle="1">
    <w:name w:val="Заголовок 3 Знак"/>
    <w:uiPriority w:val="9"/>
    <w:semiHidden/>
    <w:qFormat/>
    <w:rsid w:val="003074e2"/>
    <w:rPr>
      <w:rFonts w:ascii="Calibri Light" w:hAnsi="Calibri Light" w:eastAsia="SimSun" w:cs="Times New Roman"/>
      <w:color w:val="1F4E79"/>
      <w:sz w:val="24"/>
      <w:szCs w:val="24"/>
    </w:rPr>
  </w:style>
  <w:style w:type="character" w:styleId="41" w:customStyle="1">
    <w:name w:val="Заголовок 4 Знак"/>
    <w:uiPriority w:val="9"/>
    <w:semiHidden/>
    <w:qFormat/>
    <w:rsid w:val="003074e2"/>
    <w:rPr>
      <w:i/>
      <w:iCs/>
    </w:rPr>
  </w:style>
  <w:style w:type="character" w:styleId="51" w:customStyle="1">
    <w:name w:val="Заголовок 5 Знак"/>
    <w:uiPriority w:val="9"/>
    <w:semiHidden/>
    <w:qFormat/>
    <w:rsid w:val="003074e2"/>
    <w:rPr>
      <w:color w:val="2E74B5"/>
    </w:rPr>
  </w:style>
  <w:style w:type="character" w:styleId="61" w:customStyle="1">
    <w:name w:val="Заголовок 6 Знак"/>
    <w:uiPriority w:val="9"/>
    <w:semiHidden/>
    <w:qFormat/>
    <w:rsid w:val="003074e2"/>
    <w:rPr>
      <w:color w:val="1F4E79"/>
    </w:rPr>
  </w:style>
  <w:style w:type="character" w:styleId="71" w:customStyle="1">
    <w:name w:val="Заголовок 7 Знак"/>
    <w:uiPriority w:val="9"/>
    <w:semiHidden/>
    <w:qFormat/>
    <w:rsid w:val="003074e2"/>
    <w:rPr>
      <w:rFonts w:ascii="Calibri Light" w:hAnsi="Calibri Light" w:eastAsia="SimSun" w:cs="Times New Roman"/>
      <w:i/>
      <w:iCs/>
      <w:color w:val="1F4E79"/>
    </w:rPr>
  </w:style>
  <w:style w:type="character" w:styleId="81" w:customStyle="1">
    <w:name w:val="Заголовок 8 Знак"/>
    <w:uiPriority w:val="9"/>
    <w:semiHidden/>
    <w:qFormat/>
    <w:rsid w:val="003074e2"/>
    <w:rPr>
      <w:color w:val="262626"/>
      <w:sz w:val="21"/>
      <w:szCs w:val="21"/>
    </w:rPr>
  </w:style>
  <w:style w:type="character" w:styleId="91" w:customStyle="1">
    <w:name w:val="Заголовок 9 Знак"/>
    <w:uiPriority w:val="9"/>
    <w:semiHidden/>
    <w:qFormat/>
    <w:rsid w:val="003074e2"/>
    <w:rPr>
      <w:rFonts w:ascii="Calibri Light" w:hAnsi="Calibri Light" w:eastAsia="SimSun" w:cs="Times New Roman"/>
      <w:i/>
      <w:iCs/>
      <w:color w:val="262626"/>
      <w:sz w:val="21"/>
      <w:szCs w:val="21"/>
    </w:rPr>
  </w:style>
  <w:style w:type="character" w:styleId="Style5" w:customStyle="1">
    <w:name w:val="Заголовок Знак"/>
    <w:uiPriority w:val="10"/>
    <w:qFormat/>
    <w:rsid w:val="003074e2"/>
    <w:rPr>
      <w:rFonts w:ascii="Calibri Light" w:hAnsi="Calibri Light" w:eastAsia="SimSun" w:cs="Times New Roman"/>
      <w:spacing w:val="-10"/>
      <w:sz w:val="56"/>
      <w:szCs w:val="56"/>
    </w:rPr>
  </w:style>
  <w:style w:type="character" w:styleId="Style6" w:customStyle="1">
    <w:name w:val="Подзаголовок Знак"/>
    <w:uiPriority w:val="11"/>
    <w:qFormat/>
    <w:rsid w:val="003074e2"/>
    <w:rPr>
      <w:color w:val="5A5A5A"/>
      <w:spacing w:val="15"/>
    </w:rPr>
  </w:style>
  <w:style w:type="character" w:styleId="Strong">
    <w:name w:val="Strong"/>
    <w:uiPriority w:val="22"/>
    <w:qFormat/>
    <w:rsid w:val="003074e2"/>
    <w:rPr>
      <w:b/>
      <w:bCs/>
      <w:color w:val="auto"/>
    </w:rPr>
  </w:style>
  <w:style w:type="character" w:styleId="Style7">
    <w:name w:val="Выделение"/>
    <w:uiPriority w:val="20"/>
    <w:qFormat/>
    <w:rsid w:val="003074e2"/>
    <w:rPr>
      <w:i/>
      <w:iCs/>
      <w:color w:val="auto"/>
    </w:rPr>
  </w:style>
  <w:style w:type="character" w:styleId="22" w:customStyle="1">
    <w:name w:val="Цитата 2 Знак"/>
    <w:link w:val="Quote"/>
    <w:uiPriority w:val="29"/>
    <w:qFormat/>
    <w:rsid w:val="003074e2"/>
    <w:rPr>
      <w:i/>
      <w:iCs/>
      <w:color w:val="404040"/>
    </w:rPr>
  </w:style>
  <w:style w:type="character" w:styleId="Style8" w:customStyle="1">
    <w:name w:val="Выделенная цитата Знак"/>
    <w:link w:val="IntenseQuote"/>
    <w:uiPriority w:val="30"/>
    <w:qFormat/>
    <w:rsid w:val="003074e2"/>
    <w:rPr>
      <w:i/>
      <w:iCs/>
      <w:color w:val="5B9BD5"/>
    </w:rPr>
  </w:style>
  <w:style w:type="character" w:styleId="SubtleEmphasis">
    <w:name w:val="Subtle Emphasis"/>
    <w:uiPriority w:val="19"/>
    <w:qFormat/>
    <w:rsid w:val="003074e2"/>
    <w:rPr>
      <w:i/>
      <w:iCs/>
      <w:color w:val="404040"/>
    </w:rPr>
  </w:style>
  <w:style w:type="character" w:styleId="IntenseEmphasis">
    <w:name w:val="Intense Emphasis"/>
    <w:uiPriority w:val="21"/>
    <w:qFormat/>
    <w:rsid w:val="003074e2"/>
    <w:rPr>
      <w:i/>
      <w:iCs/>
      <w:color w:val="5B9BD5"/>
    </w:rPr>
  </w:style>
  <w:style w:type="character" w:styleId="SubtleReference">
    <w:name w:val="Subtle Reference"/>
    <w:uiPriority w:val="31"/>
    <w:qFormat/>
    <w:rsid w:val="003074e2"/>
    <w:rPr>
      <w:smallCaps/>
      <w:color w:val="404040"/>
    </w:rPr>
  </w:style>
  <w:style w:type="character" w:styleId="IntenseReference">
    <w:name w:val="Intense Reference"/>
    <w:uiPriority w:val="32"/>
    <w:qFormat/>
    <w:rsid w:val="003074e2"/>
    <w:rPr>
      <w:b/>
      <w:bCs/>
      <w:smallCaps/>
      <w:color w:val="5B9BD5"/>
      <w:spacing w:val="5"/>
    </w:rPr>
  </w:style>
  <w:style w:type="character" w:styleId="BookTitle">
    <w:name w:val="Book Title"/>
    <w:uiPriority w:val="33"/>
    <w:qFormat/>
    <w:rsid w:val="003074e2"/>
    <w:rPr>
      <w:b/>
      <w:bCs/>
      <w:i/>
      <w:iCs/>
      <w:spacing w:val="5"/>
    </w:rPr>
  </w:style>
  <w:style w:type="character" w:styleId="Style9">
    <w:name w:val="Интернет-ссылка"/>
    <w:basedOn w:val="DefaultParagraphFont"/>
    <w:uiPriority w:val="99"/>
    <w:unhideWhenUsed/>
    <w:rsid w:val="00ee76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e7696"/>
    <w:rPr>
      <w:color w:val="605E5C"/>
      <w:shd w:fill="E1DFDD" w:val="clear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Lohit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74e2"/>
    <w:pPr>
      <w:spacing w:lineRule="auto" w:line="240" w:before="0" w:after="200"/>
    </w:pPr>
    <w:rPr>
      <w:i/>
      <w:iCs/>
      <w:color w:val="44546A"/>
      <w:sz w:val="18"/>
      <w:szCs w:val="18"/>
    </w:rPr>
  </w:style>
  <w:style w:type="paragraph" w:styleId="Style15">
    <w:name w:val="Title"/>
    <w:basedOn w:val="Normal"/>
    <w:next w:val="Normal"/>
    <w:link w:val="Style5"/>
    <w:uiPriority w:val="10"/>
    <w:qFormat/>
    <w:rsid w:val="003074e2"/>
    <w:pPr>
      <w:spacing w:lineRule="auto" w:line="240" w:before="0" w:after="0"/>
      <w:contextualSpacing/>
    </w:pPr>
    <w:rPr>
      <w:rFonts w:ascii="Calibri Light" w:hAnsi="Calibri Light" w:eastAsia="SimSun" w:cs="Times New Roman"/>
      <w:spacing w:val="-10"/>
      <w:sz w:val="56"/>
      <w:szCs w:val="56"/>
    </w:rPr>
  </w:style>
  <w:style w:type="paragraph" w:styleId="Style16">
    <w:name w:val="Subtitle"/>
    <w:basedOn w:val="Normal"/>
    <w:next w:val="Normal"/>
    <w:link w:val="Style6"/>
    <w:uiPriority w:val="11"/>
    <w:qFormat/>
    <w:rsid w:val="003074e2"/>
    <w:pPr/>
    <w:rPr>
      <w:color w:val="5A5A5A"/>
      <w:spacing w:val="15"/>
    </w:rPr>
  </w:style>
  <w:style w:type="paragraph" w:styleId="NoSpacing">
    <w:name w:val="No Spacing"/>
    <w:uiPriority w:val="1"/>
    <w:qFormat/>
    <w:rsid w:val="003074e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Quote">
    <w:name w:val="Quote"/>
    <w:basedOn w:val="Normal"/>
    <w:next w:val="Normal"/>
    <w:link w:val="22"/>
    <w:uiPriority w:val="29"/>
    <w:qFormat/>
    <w:rsid w:val="003074e2"/>
    <w:pPr>
      <w:spacing w:before="200" w:after="160"/>
      <w:ind w:left="864" w:right="864" w:hanging="0"/>
    </w:pPr>
    <w:rPr>
      <w:i/>
      <w:iCs/>
      <w:color w:val="404040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3074e2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hanging="0"/>
      <w:jc w:val="center"/>
    </w:pPr>
    <w:rPr>
      <w:i/>
      <w:iCs/>
      <w:color w:val="5B9BD5"/>
    </w:rPr>
  </w:style>
  <w:style w:type="paragraph" w:styleId="Style17">
    <w:name w:val="Index Heading"/>
    <w:basedOn w:val="Style10"/>
    <w:pPr/>
    <w:rPr/>
  </w:style>
  <w:style w:type="paragraph" w:styleId="Style18">
    <w:name w:val="TOC Heading"/>
    <w:basedOn w:val="1"/>
    <w:next w:val="Normal"/>
    <w:uiPriority w:val="39"/>
    <w:semiHidden/>
    <w:unhideWhenUsed/>
    <w:qFormat/>
    <w:rsid w:val="003074e2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away.php?to=https%3A%2F%2Fdoi.org%2F10.24147%2F2542-1514.2018.2(3).72-77&amp;cc_key=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4628</TotalTime>
  <Application>LibreOffice/7.3.7.2$Linux_X86_64 LibreOffice_project/30$Build-2</Application>
  <AppVersion>15.0000</AppVersion>
  <Pages>3</Pages>
  <Words>779</Words>
  <Characters>5468</Characters>
  <CharactersWithSpaces>6239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2024-02-11T12:26:00Z</dcterms:created>
  <dc:creator>Елизавета Дыгданова</dc:creator>
  <dc:description/>
  <dc:language>ru-RU</dc:language>
  <cp:lastModifiedBy/>
  <dcterms:modified xsi:type="dcterms:W3CDTF">2024-04-27T15:26:07Z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