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center"/>
        <w:rPr>
          <w:rFonts w:ascii="Times New Roman;serif" w:hAnsi="Times New Roman;serif" w:eastAsia="Times New Roman" w:cs="Times New Roman"/>
          <w:b/>
          <w:b/>
          <w:i/>
          <w:i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en-GB"/>
        </w:rPr>
      </w:pPr>
      <w:r>
        <w:rPr>
          <w:rFonts w:eastAsia="Times New Roman" w:cs="Times New Roman"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kern w:val="0"/>
          <w:sz w:val="24"/>
          <w:szCs w:val="28"/>
          <w:u w:val="none"/>
          <w:effect w:val="none"/>
          <w:shd w:fill="auto" w:val="clear"/>
          <w:lang w:val="ru-RU" w:eastAsia="en-GB"/>
        </w:rPr>
        <w:t>Современная мир-система в контексте цифровизации и трансформации мирового порядка</w:t>
      </w:r>
    </w:p>
    <w:p>
      <w:pPr>
        <w:pStyle w:val="Style25"/>
        <w:bidi w:val="0"/>
        <w:spacing w:lineRule="auto" w:line="307" w:before="0" w:after="0"/>
        <w:jc w:val="center"/>
        <w:rPr>
          <w:color w:val="000000"/>
          <w:lang w:val="ru-RU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Корельская С.С.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</w:t>
      </w:r>
    </w:p>
    <w:p>
      <w:pPr>
        <w:pStyle w:val="Style25"/>
        <w:bidi w:val="0"/>
        <w:spacing w:lineRule="auto" w:line="307" w:before="0" w:after="0"/>
        <w:jc w:val="center"/>
        <w:rPr>
          <w:color w:val="000000"/>
          <w:lang w:val="ru-RU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  <w:lang w:val="ru-RU"/>
        </w:rPr>
        <w:t>Хрунов А.В.2</w:t>
      </w:r>
    </w:p>
    <w:p>
      <w:pPr>
        <w:pStyle w:val="Style25"/>
        <w:bidi w:val="0"/>
        <w:spacing w:lineRule="auto" w:line="307" w:before="0" w:after="0"/>
        <w:jc w:val="center"/>
        <w:rPr>
          <w:color w:val="000000"/>
          <w:lang w:val="ru-RU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Московский государственный институт международных отношений, Факультет управления и политики, Студент (бакалавр), 2026</w:t>
      </w:r>
    </w:p>
    <w:p>
      <w:pPr>
        <w:pStyle w:val="Style25"/>
        <w:bidi w:val="0"/>
        <w:spacing w:lineRule="auto" w:line="307" w:before="0" w:after="0"/>
        <w:jc w:val="center"/>
        <w:rPr>
          <w:color w:val="000000"/>
          <w:lang w:val="ru-RU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sabinakorelskaia@mail.ru</w:t>
      </w:r>
    </w:p>
    <w:p>
      <w:pPr>
        <w:pStyle w:val="Style25"/>
        <w:bidi w:val="0"/>
        <w:spacing w:lineRule="auto" w:line="307" w:before="0" w:after="0"/>
        <w:jc w:val="center"/>
        <w:rPr>
          <w:color w:val="000000"/>
          <w:lang w:val="ru-RU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  <w:lang w:val="ru-RU"/>
        </w:rPr>
        <w:t>2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  <w:lang w:val="ru-RU"/>
        </w:rPr>
        <w:t>Московский государственный университет имени М.В.Ломоносова, Факультет государственного управления, Кафедра политического анализа, Студент (бакалавр), 2026</w:t>
      </w:r>
    </w:p>
    <w:p>
      <w:pPr>
        <w:pStyle w:val="Style25"/>
        <w:bidi w:val="0"/>
        <w:spacing w:lineRule="auto" w:line="307" w:before="0" w:after="0"/>
        <w:jc w:val="center"/>
        <w:rPr>
          <w:color w:val="000000"/>
          <w:lang w:val="ru-RU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  <w:lang w:val="ru-RU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  <w:lang w:val="ru-RU"/>
        </w:rPr>
        <w:t>mynumberis57@yandex.ru</w:t>
      </w:r>
    </w:p>
    <w:p>
      <w:pPr>
        <w:pStyle w:val="Style25"/>
        <w:jc w:val="center"/>
        <w:rPr>
          <w:color w:val="000000"/>
          <w:lang w:val="ru-RU"/>
        </w:rPr>
      </w:pPr>
      <w:r>
        <w:rPr/>
      </w:r>
    </w:p>
    <w:p>
      <w:pPr>
        <w:pStyle w:val="NormalWeb"/>
        <w:spacing w:beforeAutospacing="0" w:before="0" w:afterAutospacing="0" w:after="0"/>
        <w:rPr>
          <w:color w:val="000000"/>
          <w:lang w:val="ru-RU"/>
        </w:rPr>
      </w:pPr>
      <w:r>
        <w:rPr>
          <w:color w:val="000000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Крушение Ялтинско-Потсдамской системы международных отношений повлияло на изменение процессов внутри мир-системы: несмотря на то, что идеологические категории остаются в дискурсе ряда государств (например, разделение мира на демократический и антидемократический во внешнеполитической стратегии Соединенных Штатов), сам тренд разделения мира приобретает более выраженный экономический характер, появляются новые механизмы усиления зависимости</w:t>
      </w:r>
      <w:r>
        <w:rPr>
          <w:rStyle w:val="Style21"/>
          <w:color w:val="000000"/>
          <w:lang w:val="ru-RU"/>
        </w:rPr>
        <w:footnoteReference w:id="2"/>
      </w:r>
      <w:r>
        <w:rPr>
          <w:color w:val="000000"/>
          <w:lang w:val="ru-RU"/>
        </w:rPr>
        <w:t xml:space="preserve">. Новые линии размежевания проходят в результате формирования конкурирующих, но, в отличие от биполярной системы, взаимозависимых экономических блоков, возглавляемых, прежде всего, США и КНР. Государства ядра, полупериферии и периферии оказываются в орбите той или иной экономической мега-инициативы стран-гегемонов. Китай успешно продвигает свою экономическую стратегию при помощи «Пояса и пути», в то время как США предпринимает попытки отстоять роль мирового лидера, создавая различные проекты, такие как Транстихоокеанское партнерство, </w:t>
      </w:r>
      <w:r>
        <w:rPr>
          <w:color w:val="000000"/>
          <w:lang w:val="en-US"/>
        </w:rPr>
        <w:t>QUAD</w:t>
      </w:r>
      <w:r>
        <w:rPr>
          <w:color w:val="000000"/>
          <w:lang w:val="ru-RU"/>
        </w:rPr>
        <w:t xml:space="preserve"> или Транстихоокеанскую экономическую структуру. Как таковая идеологическая составляющая этой поляризации отсутствует, однако центры сотрудничают со своими партнерами-саттелитами (или даже неоколониями) на разных “политических” условиях: блок, возглавляемый США, концентрируется на создании управляемой «демократической системы» и «свободного рынка»</w:t>
      </w:r>
      <w:r>
        <w:rPr>
          <w:rStyle w:val="Style21"/>
          <w:color w:val="000000"/>
          <w:lang w:val="ru-RU"/>
        </w:rPr>
        <w:footnoteReference w:id="3"/>
      </w:r>
      <w:r>
        <w:rPr>
          <w:color w:val="000000"/>
          <w:lang w:val="ru-RU"/>
        </w:rPr>
        <w:t>, в то время как Китай не предпринимает попыток изменить политические институты, умело устанавливая гегемонию в блоке при помощи “липкой силы”. Блоки усиливают экономическую поляризацию по линии центр-полупериферия-периферия также при помощи цифровизации, продвигая такие инициативы как, например, “Цифровой Шелковый путь”, формируя все возрастающую непреодолимую зависимость стран от своего технологического сектора. Отличающимся трендом мир-системы является сотрудничество центров двух конкурирующих блоков в цифровой сфере друг с другом в области разработок и развития цифровых технологий</w:t>
      </w:r>
      <w:r>
        <w:rPr>
          <w:rStyle w:val="Style21"/>
          <w:color w:val="000000"/>
          <w:lang w:val="ru-RU"/>
        </w:rPr>
        <w:footnoteReference w:id="4"/>
      </w:r>
      <w:r>
        <w:rPr>
          <w:color w:val="000000"/>
          <w:lang w:val="ru-RU"/>
        </w:rPr>
        <w:t>.</w:t>
      </w:r>
      <w:r>
        <w:rPr>
          <w:color w:val="000000"/>
        </w:rPr>
        <w:t> </w:t>
      </w:r>
    </w:p>
    <w:p>
      <w:pPr>
        <w:pStyle w:val="NormalWeb"/>
        <w:spacing w:beforeAutospacing="0" w:before="240" w:afterAutospacing="0" w:after="2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КНР успешно преподносит странам периферии и менее развитым странам полупериферии экономическую инициативу “Пояс и путь”, предоставляя инновации, улучшая бизнес-климат и гуманитарное сотрудничество, а также увеличивая количество технологических цепочек. Китай в свою очередь получает возможность вынести за пределы “грязные” производства и сконцентрировать на своей территории инновационные производства. Конечной целью инициативы Китая является соединение в единый блок десятков стран, производящих 65% мирового ВВП</w:t>
      </w:r>
      <w:r>
        <w:rPr>
          <w:rStyle w:val="Style21"/>
          <w:color w:val="000000"/>
          <w:lang w:val="ru-RU"/>
        </w:rPr>
        <w:footnoteReference w:id="5"/>
      </w:r>
      <w:r>
        <w:rPr>
          <w:color w:val="000000"/>
          <w:lang w:val="ru-RU"/>
        </w:rPr>
        <w:t xml:space="preserve">. Однако несмотря на интерес экономического господства, Китай в меньшей степени влияет на политические процессы в зависимых странах. Кроме того, правительство КНР стремится обрести облик доброжелателя, однако использует концепцию “липкой силы”, предоставляя непосильные кредиты и контролируя производство в странах. КНР развивает </w:t>
      </w:r>
      <w:r>
        <w:rPr>
          <w:color w:val="000000"/>
        </w:rPr>
        <w:t>IT</w:t>
      </w:r>
      <w:r>
        <w:rPr>
          <w:color w:val="000000"/>
          <w:lang w:val="ru-RU"/>
        </w:rPr>
        <w:t xml:space="preserve"> отрасль, стремится цифровизировать Шелковый путь, включить в повестку сотрудничества искусственный интеллект, нанотехнологии и проч., используя при этом свои ТНК, такие как «</w:t>
      </w:r>
      <w:r>
        <w:rPr>
          <w:color w:val="000000"/>
        </w:rPr>
        <w:t>Huawei</w:t>
      </w:r>
      <w:r>
        <w:rPr>
          <w:color w:val="000000"/>
          <w:lang w:val="ru-RU"/>
        </w:rPr>
        <w:t>»</w:t>
      </w:r>
      <w:r>
        <w:rPr>
          <w:rStyle w:val="Style21"/>
          <w:color w:val="000000"/>
          <w:lang w:val="ru-RU"/>
        </w:rPr>
        <w:footnoteReference w:id="6"/>
      </w:r>
      <w:r>
        <w:rPr>
          <w:color w:val="000000"/>
          <w:lang w:val="ru-RU"/>
        </w:rPr>
        <w:t>.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 отличие от КНР Соединенные Штаты предоставляют экономическую помощь при условии изменения государственных институтов в странах-«неоколониях». Это отражается в смене внутренней экономической стратегии, заключающейся в повышении самостоятельности бизнеса, отмене многих налогов предпринимателям и государственных субсидий, закрытии государственных проектов и большей приватизации, гуманитарной стратегии - закреплении верховенства прав и свобод человека по правовой системе США, а также политических институтов - усилении многопартийности и открытости выборных процедур</w:t>
      </w:r>
      <w:r>
        <w:rPr>
          <w:rStyle w:val="Style21"/>
          <w:color w:val="000000"/>
          <w:lang w:val="ru-RU"/>
        </w:rPr>
        <w:footnoteReference w:id="7"/>
      </w:r>
      <w:r>
        <w:rPr>
          <w:color w:val="000000"/>
          <w:lang w:val="ru-RU"/>
        </w:rPr>
        <w:t>. Соединенные Штаты Америки помогают изменять внутреннюю структуру стран и при помощи “мягкой силы”, прививая будущим лидерам неоколоний “демократические ценности”. Например, Бараком Обамой в 2010 г. была выдвинута инициатива «Молодые африканские лидеры» (</w:t>
      </w:r>
      <w:r>
        <w:rPr>
          <w:color w:val="000000"/>
        </w:rPr>
        <w:t>Young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African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Leaders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Initiative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>YALI</w:t>
      </w:r>
      <w:r>
        <w:rPr>
          <w:color w:val="000000"/>
          <w:lang w:val="ru-RU"/>
        </w:rPr>
        <w:t>), заключающаяся в предоставлении образования в лучших американских университетах перспективным молодым людям Африки. Что касается цифровой составляющей неоколониализма, США не концентрируют весь возможный экспорт цифровых технологий в своих руках, предоставляя возможность участвовать в экспорте Японии и Южной Корее, но единственные занимаются разработкой и совершенствованием цифровых проектов в стратегической сфере, формируя прямую зависимость стран блока от своих цифровых военных технологий.</w:t>
      </w:r>
      <w:r>
        <w:rPr>
          <w:color w:val="000000"/>
        </w:rPr>
        <w:t>  </w:t>
      </w:r>
    </w:p>
    <w:p>
      <w:pPr>
        <w:pStyle w:val="Normal"/>
        <w:rPr>
          <w:color w:val="000000"/>
          <w:lang w:val="ru-RU"/>
        </w:rPr>
      </w:pPr>
      <w:r>
        <w:rPr>
          <w:color w:val="000000"/>
          <w:lang w:val="ru-RU"/>
        </w:rPr>
      </w:r>
    </w:p>
    <w:p>
      <w:pPr>
        <w:pStyle w:val="NormalWeb"/>
        <w:spacing w:beforeAutospacing="0" w:before="0" w:afterAutospacing="0" w:after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Несмотря на разницу в подходах, и КНР, и США используют цифровизацию для усиления своего влияния и в информационной сфере. Если США предоставляет “цифровую помощь” только при условии изменения политических институтов и как следствие повестки новостных агентств, то Китай делает это в основном за счет геоэкономических инструментов.</w:t>
      </w:r>
      <w:r>
        <w:rPr>
          <w:color w:val="000000"/>
        </w:rPr>
        <w:t> </w:t>
      </w:r>
      <w:r>
        <w:rPr>
          <w:color w:val="000000"/>
          <w:lang w:val="ru-RU"/>
        </w:rPr>
        <w:t>Однако обе страны нацелены в своих странах-сателлитах сформировать консьюмеристские ценности для получения дополнительного контроля. Они используют большие данные и продвигают персонализированную рекламу для повышения эффективности влияния. Этот процесс развивается практически без контроля властей стран полупериферии и периферии из-за невозможности правительств обеспечить развитие своей информационной среды.</w:t>
      </w:r>
      <w:r>
        <w:rPr>
          <w:color w:val="000000"/>
        </w:rPr>
        <w:t> </w:t>
      </w:r>
    </w:p>
    <w:p>
      <w:pPr>
        <w:pStyle w:val="Normal"/>
        <w:spacing w:before="0" w:after="240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Web"/>
        <w:spacing w:beforeAutospacing="0" w:before="0" w:afterAutospacing="0" w:after="0"/>
        <w:jc w:val="both"/>
        <w:rPr>
          <w:color w:val="000000"/>
          <w:lang w:val="ru-RU"/>
        </w:rPr>
      </w:pPr>
      <w:r>
        <w:rPr>
          <w:color w:val="000000"/>
          <w:lang w:val="ru-RU"/>
        </w:rPr>
      </w:r>
    </w:p>
    <w:p>
      <w:pPr>
        <w:pStyle w:val="Normal"/>
        <w:spacing w:before="0" w:after="240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Список литературы: 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Кадочников Павел Анатольевич, Стапран Наталья Валерьевна Транстихоокеанское партнерство: основные обязательства участников и последствия для международной торговли // Российский внешнеэкономический вестник. 2016. №2. URL: https://cyberleninka.ru/article/n/transtihookeanskoe-partnerstvo-osnovnye-obyazatelstva-uchastnikov-i-posledstviya-dlya-mezhdunarodnoy-torgovli (дата обращения: 27.02.2024).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Киреева Анна Андреевна "инициатива пояса и пути": содержание, цели и значение // Сравнительная политика. 2018. №3. URL: https://cyberleninka.ru/article/n/initsiativa-poyasa-i-puti-soderzhanie-tseli-i-znachenie (дата обращения: 28.02.2024).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Осокина, Н. В. Контуры нового мира: современное состояние реструктуризации мир-системы / Н. В. Осокина // Финансовый бизнес. – 2022. – № 7(229). – С. 3-7. – EDN ADJMFX.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Пархоменко Валентин Константинович СОПЕРНИЧЕСТВО США И КНР В АФРИКЕ: ВЫЗОВЫ И ПЕРСПЕКТИВЫ // Вестник Московского университета. Серия 25. Международные отношения и мировая политика. 2022. №1. URL: https://cyberleninka.ru/article/n/sopernichestvo-ssha-i-knr-v-afrike-vyzovy-i-perspektivy (дата обращения: 28.02.2024).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Роуз Кристиан Брунович Механизмы и пределы влияния США в МВФ // Механизмы и пределы влияния США в МВФ. 2013. №2013. URL: https://cyberleninka.ru/article/n/mehanizmy-i-predely-vliyaniya-ssha-v-mvf (дата обращения: 27.02.2024).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Цветкова Н.Н. Проекты региональной интеграции и новые технологии: цифровой Шелковый путь // Восточная аналитика. 2019. №1. URL: https://cyberleninka.ru/article/n/proekty-regionalnoy-integratsii-i-novye-tehnologii-tsifrovoy-shelkovyy-put (дата обращения: 28.02.2024).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altName w:val="serif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9"/>
        <w:jc w:val="both"/>
        <w:rPr>
          <w:lang w:val="ru-RU"/>
        </w:rPr>
      </w:pPr>
      <w:r>
        <w:rPr>
          <w:rStyle w:val="Style20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Осокина, Н. В. Контуры нового мира: современное состояние реструктуризации мир-системы / Н. В. Осокина // Финансовый бизнес. – 2022. – № 7(229). – С. 3-7. – </w:t>
      </w:r>
      <w:r>
        <w:rPr/>
        <w:t>EDN</w:t>
      </w:r>
      <w:r>
        <w:rPr>
          <w:lang w:val="ru-RU"/>
        </w:rPr>
        <w:t xml:space="preserve"> </w:t>
      </w:r>
      <w:r>
        <w:rPr/>
        <w:t>ADJMFX</w:t>
      </w:r>
      <w:r>
        <w:rPr>
          <w:lang w:val="ru-RU"/>
        </w:rPr>
        <w:t>.</w:t>
      </w:r>
    </w:p>
  </w:footnote>
  <w:footnote w:id="3">
    <w:p>
      <w:pPr>
        <w:pStyle w:val="Style29"/>
        <w:jc w:val="both"/>
        <w:rPr>
          <w:lang w:val="ru-RU"/>
        </w:rPr>
      </w:pPr>
      <w:r>
        <w:rPr>
          <w:rStyle w:val="Style20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Кадочников Павел Анатольевич, Стапран Наталья Валерьевна Транстихоокеанское партнерство: основные обязательства участников и последствия для международной торговли // Российский внешнеэкономический вестник. 2016. №2. </w:t>
      </w:r>
      <w:r>
        <w:rPr/>
        <w:t>URL</w:t>
      </w:r>
      <w:r>
        <w:rPr>
          <w:lang w:val="ru-RU"/>
        </w:rPr>
        <w:t xml:space="preserve">: </w:t>
      </w:r>
      <w:r>
        <w:rPr/>
        <w:t>https</w:t>
      </w:r>
      <w:r>
        <w:rPr>
          <w:lang w:val="ru-RU"/>
        </w:rPr>
        <w:t>://</w:t>
      </w:r>
      <w:r>
        <w:rPr/>
        <w:t>cyberleninka</w:t>
      </w:r>
      <w:r>
        <w:rPr>
          <w:lang w:val="ru-RU"/>
        </w:rPr>
        <w:t>.</w:t>
      </w:r>
      <w:r>
        <w:rPr/>
        <w:t>ru</w:t>
      </w:r>
      <w:r>
        <w:rPr>
          <w:lang w:val="ru-RU"/>
        </w:rPr>
        <w:t>/</w:t>
      </w:r>
      <w:r>
        <w:rPr/>
        <w:t>article</w:t>
      </w:r>
      <w:r>
        <w:rPr>
          <w:lang w:val="ru-RU"/>
        </w:rPr>
        <w:t>/</w:t>
      </w:r>
      <w:r>
        <w:rPr/>
        <w:t>n</w:t>
      </w:r>
      <w:r>
        <w:rPr>
          <w:lang w:val="ru-RU"/>
        </w:rPr>
        <w:t>/</w:t>
      </w:r>
      <w:r>
        <w:rPr/>
        <w:t>transtihookeanskoe</w:t>
      </w:r>
      <w:r>
        <w:rPr>
          <w:lang w:val="ru-RU"/>
        </w:rPr>
        <w:t>-</w:t>
      </w:r>
      <w:r>
        <w:rPr/>
        <w:t>partnerstvo</w:t>
      </w:r>
      <w:r>
        <w:rPr>
          <w:lang w:val="ru-RU"/>
        </w:rPr>
        <w:t>-</w:t>
      </w:r>
      <w:r>
        <w:rPr/>
        <w:t>osnovnye</w:t>
      </w:r>
      <w:r>
        <w:rPr>
          <w:lang w:val="ru-RU"/>
        </w:rPr>
        <w:t>-</w:t>
      </w:r>
      <w:r>
        <w:rPr/>
        <w:t>obyazatelstva</w:t>
      </w:r>
      <w:r>
        <w:rPr>
          <w:lang w:val="ru-RU"/>
        </w:rPr>
        <w:t>-</w:t>
      </w:r>
      <w:r>
        <w:rPr/>
        <w:t>uchastnikov</w:t>
      </w:r>
      <w:r>
        <w:rPr>
          <w:lang w:val="ru-RU"/>
        </w:rPr>
        <w:t>-</w:t>
      </w:r>
      <w:r>
        <w:rPr/>
        <w:t>i</w:t>
      </w:r>
      <w:r>
        <w:rPr>
          <w:lang w:val="ru-RU"/>
        </w:rPr>
        <w:t>-</w:t>
      </w:r>
      <w:r>
        <w:rPr/>
        <w:t>posledstviya</w:t>
      </w:r>
      <w:r>
        <w:rPr>
          <w:lang w:val="ru-RU"/>
        </w:rPr>
        <w:t>-</w:t>
      </w:r>
      <w:r>
        <w:rPr/>
        <w:t>dlya</w:t>
      </w:r>
      <w:r>
        <w:rPr>
          <w:lang w:val="ru-RU"/>
        </w:rPr>
        <w:t>-</w:t>
      </w:r>
      <w:r>
        <w:rPr/>
        <w:t>mezhdunarodnoy</w:t>
      </w:r>
      <w:r>
        <w:rPr>
          <w:lang w:val="ru-RU"/>
        </w:rPr>
        <w:t>-</w:t>
      </w:r>
      <w:r>
        <w:rPr/>
        <w:t>torgovli</w:t>
      </w:r>
      <w:r>
        <w:rPr>
          <w:lang w:val="ru-RU"/>
        </w:rPr>
        <w:t xml:space="preserve"> (дата обращения: 27.02.2024).</w:t>
      </w:r>
    </w:p>
  </w:footnote>
  <w:footnote w:id="4">
    <w:p>
      <w:pPr>
        <w:pStyle w:val="Style29"/>
        <w:jc w:val="both"/>
        <w:rPr>
          <w:lang w:val="ru-RU"/>
        </w:rPr>
      </w:pPr>
      <w:r>
        <w:rPr>
          <w:rStyle w:val="Style20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>Пархоменко Валентин Константинович СОПЕРНИЧЕСТВО США И КНР В АФРИКЕ: ВЫЗОВЫ И ПЕРСПЕКТИВЫ // Вестник Московского университета. Серия 25. Международные отношения и мировая политика. 2022. №1. URL: https://cyberleninka.ru/article/n/sopernichestvo-ssha-i-knr-v-afrike-vyzovy-i-perspektivy (дата обращения: 28.02.2024).</w:t>
      </w:r>
    </w:p>
  </w:footnote>
  <w:footnote w:id="5">
    <w:p>
      <w:pPr>
        <w:pStyle w:val="Style29"/>
        <w:jc w:val="both"/>
        <w:rPr>
          <w:lang w:val="ru-RU"/>
        </w:rPr>
      </w:pPr>
      <w:r>
        <w:rPr>
          <w:rStyle w:val="Style20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>Киреева Анна Андреевна "инициатива пояса и пути": содержание, цели и значение // Сравнительная политика. 2018. №3. URL: https://cyberleninka.ru/article/n/initsiativa-poyasa-i-puti-soderzhanie-tseli-i-znachenie (дата обращения: 28.02.2024).</w:t>
      </w:r>
    </w:p>
  </w:footnote>
  <w:footnote w:id="6">
    <w:p>
      <w:pPr>
        <w:pStyle w:val="Style29"/>
        <w:jc w:val="both"/>
        <w:rPr>
          <w:lang w:val="ru-RU"/>
        </w:rPr>
      </w:pPr>
      <w:r>
        <w:rPr>
          <w:rStyle w:val="Style20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>Цветкова Н.Н. Проекты региональной интеграции и новые технологии: цифровой Шелковый путь // Восточная аналитика. 2019. №1. URL: https://cyberleninka.ru/article/n/proekty-regionalnoy-integratsii-i-novye-tehnologii-tsifrovoy-shelkovyy-put (дата обращения: 28.02.2024).</w:t>
      </w:r>
    </w:p>
  </w:footnote>
  <w:footnote w:id="7">
    <w:p>
      <w:pPr>
        <w:pStyle w:val="Style29"/>
        <w:jc w:val="both"/>
        <w:rPr>
          <w:lang w:val="ru-RU"/>
        </w:rPr>
      </w:pPr>
      <w:r>
        <w:rPr>
          <w:rStyle w:val="Style20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Роуз Кристиан Брунович Механизмы и пределы влияния США в МВФ // Механизмы и пределы влияния США в МВФ. 2013. №2013. </w:t>
      </w:r>
      <w:r>
        <w:rPr/>
        <w:t>URL</w:t>
      </w:r>
      <w:r>
        <w:rPr>
          <w:lang w:val="ru-RU"/>
        </w:rPr>
        <w:t xml:space="preserve">: </w:t>
      </w:r>
      <w:r>
        <w:rPr/>
        <w:t>https</w:t>
      </w:r>
      <w:r>
        <w:rPr>
          <w:lang w:val="ru-RU"/>
        </w:rPr>
        <w:t>://</w:t>
      </w:r>
      <w:r>
        <w:rPr/>
        <w:t>cyberleninka</w:t>
      </w:r>
      <w:r>
        <w:rPr>
          <w:lang w:val="ru-RU"/>
        </w:rPr>
        <w:t>.</w:t>
      </w:r>
      <w:r>
        <w:rPr/>
        <w:t>ru</w:t>
      </w:r>
      <w:r>
        <w:rPr>
          <w:lang w:val="ru-RU"/>
        </w:rPr>
        <w:t>/</w:t>
      </w:r>
      <w:r>
        <w:rPr/>
        <w:t>article</w:t>
      </w:r>
      <w:r>
        <w:rPr>
          <w:lang w:val="ru-RU"/>
        </w:rPr>
        <w:t>/</w:t>
      </w:r>
      <w:r>
        <w:rPr/>
        <w:t>n</w:t>
      </w:r>
      <w:r>
        <w:rPr>
          <w:lang w:val="ru-RU"/>
        </w:rPr>
        <w:t>/</w:t>
      </w:r>
      <w:r>
        <w:rPr/>
        <w:t>mehanizmy</w:t>
      </w:r>
      <w:r>
        <w:rPr>
          <w:lang w:val="ru-RU"/>
        </w:rPr>
        <w:t>-</w:t>
      </w:r>
      <w:r>
        <w:rPr/>
        <w:t>i</w:t>
      </w:r>
      <w:r>
        <w:rPr>
          <w:lang w:val="ru-RU"/>
        </w:rPr>
        <w:t>-</w:t>
      </w:r>
      <w:r>
        <w:rPr/>
        <w:t>predely</w:t>
      </w:r>
      <w:r>
        <w:rPr>
          <w:lang w:val="ru-RU"/>
        </w:rPr>
        <w:t>-</w:t>
      </w:r>
      <w:r>
        <w:rPr/>
        <w:t>vliyaniya</w:t>
      </w:r>
      <w:r>
        <w:rPr>
          <w:lang w:val="ru-RU"/>
        </w:rPr>
        <w:t>-</w:t>
      </w:r>
      <w:r>
        <w:rPr/>
        <w:t>ssha</w:t>
      </w:r>
      <w:r>
        <w:rPr>
          <w:lang w:val="ru-RU"/>
        </w:rPr>
        <w:t>-</w:t>
      </w:r>
      <w:r>
        <w:rPr/>
        <w:t>v</w:t>
      </w:r>
      <w:r>
        <w:rPr>
          <w:lang w:val="ru-RU"/>
        </w:rPr>
        <w:t>-</w:t>
      </w:r>
      <w:r>
        <w:rPr/>
        <w:t>mvf</w:t>
      </w:r>
      <w:r>
        <w:rPr>
          <w:lang w:val="ru-RU"/>
        </w:rPr>
        <w:t xml:space="preserve"> (дата обращения: 27.02.2024).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9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7ff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0dfd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660dfd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660dfd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660dfd"/>
    <w:rPr>
      <w:rFonts w:ascii="Tahoma" w:hAnsi="Tahoma" w:cs="Tahoma"/>
      <w:sz w:val="16"/>
      <w:szCs w:val="16"/>
    </w:rPr>
  </w:style>
  <w:style w:type="character" w:styleId="Style17">
    <w:name w:val="Интернет-ссылка"/>
    <w:basedOn w:val="DefaultParagraphFont"/>
    <w:uiPriority w:val="99"/>
    <w:unhideWhenUsed/>
    <w:rsid w:val="00660dfd"/>
    <w:rPr>
      <w:color w:val="0563C1" w:themeColor="hyperlink"/>
      <w:u w:val="single"/>
    </w:rPr>
  </w:style>
  <w:style w:type="character" w:styleId="Style18">
    <w:name w:val="Посещённая гиперссылка"/>
    <w:basedOn w:val="DefaultParagraphFont"/>
    <w:uiPriority w:val="99"/>
    <w:semiHidden/>
    <w:unhideWhenUsed/>
    <w:rsid w:val="00df5303"/>
    <w:rPr>
      <w:color w:val="954F72" w:themeColor="followedHyperlink"/>
      <w:u w:val="single"/>
    </w:rPr>
  </w:style>
  <w:style w:type="character" w:styleId="Style19" w:customStyle="1">
    <w:name w:val="Текст сноски Знак"/>
    <w:basedOn w:val="DefaultParagraphFont"/>
    <w:uiPriority w:val="99"/>
    <w:semiHidden/>
    <w:qFormat/>
    <w:rsid w:val="00b0130e"/>
    <w:rPr>
      <w:rFonts w:ascii="Times New Roman" w:hAnsi="Times New Roman" w:eastAsia="Times New Roman" w:cs="Times New Roman"/>
      <w:kern w:val="0"/>
      <w:sz w:val="20"/>
      <w:szCs w:val="20"/>
      <w:lang w:eastAsia="en-GB"/>
    </w:rPr>
  </w:style>
  <w:style w:type="character" w:styleId="Style20">
    <w:name w:val="Символ сноски"/>
    <w:basedOn w:val="DefaultParagraphFont"/>
    <w:uiPriority w:val="99"/>
    <w:semiHidden/>
    <w:unhideWhenUsed/>
    <w:qFormat/>
    <w:rsid w:val="00b0130e"/>
    <w:rPr>
      <w:vertAlign w:val="superscript"/>
    </w:rPr>
  </w:style>
  <w:style w:type="character" w:styleId="Style21">
    <w:name w:val="Привязка сноски"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концевой сноски"/>
    <w:qFormat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5">
    <w:name w:val="Body Text"/>
    <w:basedOn w:val="Normal"/>
    <w:pPr>
      <w:spacing w:lineRule="auto" w:line="276" w:before="0" w:after="140"/>
    </w:pPr>
    <w:rPr/>
  </w:style>
  <w:style w:type="paragraph" w:styleId="Style26">
    <w:name w:val="List"/>
    <w:basedOn w:val="Style25"/>
    <w:pPr/>
    <w:rPr>
      <w:rFonts w:cs="Lohit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660df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660dfd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660dfd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217ff8"/>
    <w:pPr>
      <w:spacing w:beforeAutospacing="1" w:afterAutospacing="1"/>
    </w:pPr>
    <w:rPr/>
  </w:style>
  <w:style w:type="paragraph" w:styleId="Style29">
    <w:name w:val="Footnote Text"/>
    <w:basedOn w:val="Normal"/>
    <w:link w:val="Style19"/>
    <w:uiPriority w:val="99"/>
    <w:semiHidden/>
    <w:unhideWhenUsed/>
    <w:rsid w:val="00b0130e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23ec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D5311D-AEA6-415B-9DB1-E48630B6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LibreOffice/7.3.7.2$Linux_X86_64 LibreOffice_project/30$Build-2</Application>
  <AppVersion>15.0000</AppVersion>
  <Pages>3</Pages>
  <Words>945</Words>
  <Characters>7838</Characters>
  <CharactersWithSpaces>8772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2023-11-12T17:25:00Z</dcterms:created>
  <dc:creator>Sabina Korelskaia</dc:creator>
  <dc:description/>
  <dc:language>ru-RU</dc:language>
  <cp:lastModifiedBy/>
  <dcterms:modified xsi:type="dcterms:W3CDTF">2024-04-20T15:28:46Z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