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等线" w:cs="Times New Roman"/>
          <w:b/>
          <w:b/>
          <w:bCs/>
          <w:color w:val="1A1A1A"/>
          <w:kern w:val="2"/>
          <w:sz w:val="24"/>
          <w:szCs w:val="24"/>
          <w:shd w:fill="FFFFFF" w:val="clear"/>
          <w:lang w:val="ru-RU" w:eastAsia="zh-CN" w:bidi="ar-SA"/>
        </w:rPr>
      </w:pPr>
      <w:bookmarkStart w:id="0" w:name="_GoBack"/>
      <w:r>
        <w:rPr>
          <w:rFonts w:eastAsia="等线" w:cs="Times New Roman" w:ascii="Times New Roman" w:hAnsi="Times New Roman"/>
          <w:b/>
          <w:bCs/>
          <w:color w:val="1A1A1A"/>
          <w:kern w:val="2"/>
          <w:sz w:val="24"/>
          <w:szCs w:val="24"/>
          <w:shd w:fill="FFFFFF" w:val="clear"/>
          <w:lang w:val="ru-RU" w:eastAsia="zh-CN" w:bidi="ar-SA"/>
        </w:rPr>
        <w:t>Геополитическая стратегическая коммуникация -информационная война между Китаем и США</w:t>
      </w:r>
    </w:p>
    <w:p>
      <w:pPr>
        <w:pStyle w:val="Normal"/>
        <w:jc w:val="center"/>
        <w:rPr>
          <w:rFonts w:ascii="Times New Roman" w:hAnsi="Times New Roman" w:cs="Times New Roman"/>
          <w:b/>
          <w:b/>
          <w:bCs/>
          <w:i/>
          <w:i/>
          <w:iCs/>
          <w:sz w:val="24"/>
          <w:szCs w:val="24"/>
          <w:lang w:val="ru-RU"/>
        </w:rPr>
      </w:pPr>
      <w:r>
        <w:rPr>
          <w:rFonts w:cs="Times New Roman" w:ascii="Times New Roman" w:hAnsi="Times New Roman"/>
          <w:b/>
          <w:bCs/>
          <w:i/>
          <w:iCs/>
          <w:sz w:val="24"/>
          <w:szCs w:val="24"/>
          <w:lang w:val="ru-RU"/>
        </w:rPr>
        <w:t>Гу  МиньХанъ</w:t>
      </w:r>
    </w:p>
    <w:p>
      <w:pPr>
        <w:pStyle w:val="Normal"/>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Студент (магистр)</w:t>
      </w:r>
    </w:p>
    <w:p>
      <w:pPr>
        <w:pStyle w:val="Normal"/>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 xml:space="preserve">Московский государственный университет имени М.В.Ломоносова, </w:t>
      </w:r>
    </w:p>
    <w:p>
      <w:pPr>
        <w:pStyle w:val="Normal"/>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 xml:space="preserve"> </w:t>
      </w:r>
      <w:r>
        <w:rPr>
          <w:rFonts w:cs="Times New Roman" w:ascii="Times New Roman" w:hAnsi="Times New Roman"/>
          <w:i/>
          <w:iCs/>
          <w:sz w:val="24"/>
          <w:szCs w:val="24"/>
          <w:lang w:val="ru-RU"/>
        </w:rPr>
        <w:t>Факультет мировой политики, Москва, Россия</w:t>
      </w:r>
    </w:p>
    <w:p>
      <w:pPr>
        <w:pStyle w:val="Normal"/>
        <w:jc w:val="center"/>
        <w:rPr>
          <w:rFonts w:ascii="Times New Roman" w:hAnsi="Times New Roman" w:cs="Times New Roman"/>
          <w:i/>
          <w:i/>
          <w:iCs/>
          <w:sz w:val="24"/>
          <w:szCs w:val="24"/>
          <w:lang w:val="ru-RU"/>
        </w:rPr>
      </w:pPr>
      <w:r>
        <w:rPr>
          <w:rFonts w:cs="Times New Roman" w:ascii="Times New Roman" w:hAnsi="Times New Roman"/>
          <w:i/>
          <w:iCs/>
          <w:sz w:val="24"/>
          <w:szCs w:val="24"/>
          <w:lang w:val="ru-RU"/>
        </w:rPr>
        <w:t xml:space="preserve">E–mail: </w:t>
      </w:r>
      <w:r>
        <w:rPr>
          <w:rFonts w:cs="Times New Roman" w:ascii="Times New Roman" w:hAnsi="Times New Roman"/>
          <w:i/>
          <w:iCs/>
          <w:sz w:val="24"/>
          <w:szCs w:val="24"/>
        </w:rPr>
        <w:t>gu</w:t>
      </w:r>
      <w:r>
        <w:rPr>
          <w:rFonts w:cs="Times New Roman" w:ascii="Times New Roman" w:hAnsi="Times New Roman"/>
          <w:i/>
          <w:iCs/>
          <w:sz w:val="24"/>
          <w:szCs w:val="24"/>
          <w:lang w:val="ru-RU"/>
        </w:rPr>
        <w:t>.</w:t>
      </w:r>
      <w:r>
        <w:rPr>
          <w:rFonts w:cs="Times New Roman" w:ascii="Times New Roman" w:hAnsi="Times New Roman"/>
          <w:i/>
          <w:iCs/>
          <w:sz w:val="24"/>
          <w:szCs w:val="24"/>
        </w:rPr>
        <w:t>minhan</w:t>
      </w:r>
      <w:r>
        <w:rPr>
          <w:rFonts w:cs="Times New Roman" w:ascii="Times New Roman" w:hAnsi="Times New Roman"/>
          <w:i/>
          <w:iCs/>
          <w:sz w:val="24"/>
          <w:szCs w:val="24"/>
          <w:lang w:val="ru-RU"/>
        </w:rPr>
        <w:t>@</w:t>
      </w:r>
      <w:r>
        <w:rPr>
          <w:rFonts w:cs="Times New Roman" w:ascii="Times New Roman" w:hAnsi="Times New Roman"/>
          <w:i/>
          <w:iCs/>
          <w:sz w:val="24"/>
          <w:szCs w:val="24"/>
        </w:rPr>
        <w:t>rambler</w:t>
      </w:r>
      <w:r>
        <w:rPr>
          <w:rFonts w:cs="Times New Roman" w:ascii="Times New Roman" w:hAnsi="Times New Roman"/>
          <w:i/>
          <w:iCs/>
          <w:sz w:val="24"/>
          <w:szCs w:val="24"/>
          <w:lang w:val="ru-RU"/>
        </w:rPr>
        <w:t>.</w:t>
      </w:r>
      <w:r>
        <w:rPr>
          <w:rFonts w:cs="Times New Roman" w:ascii="Times New Roman" w:hAnsi="Times New Roman"/>
          <w:i/>
          <w:iCs/>
          <w:sz w:val="24"/>
          <w:szCs w:val="24"/>
        </w:rPr>
        <w:t>ru</w:t>
      </w:r>
    </w:p>
    <w:p>
      <w:pPr>
        <w:pStyle w:val="ListParagraph"/>
        <w:ind w:firstLine="240"/>
        <w:rPr>
          <w:rFonts w:ascii="Times New Roman" w:hAnsi="Times New Roman" w:cs="Times New Roman"/>
          <w:sz w:val="24"/>
          <w:szCs w:val="24"/>
          <w:lang w:val="ru-RU"/>
        </w:rPr>
      </w:pPr>
      <w:r>
        <w:rPr>
          <w:rFonts w:cs="Times New Roman" w:ascii="Times New Roman" w:hAnsi="Times New Roman"/>
          <w:sz w:val="24"/>
          <w:szCs w:val="24"/>
          <w:lang w:val="ru-RU"/>
        </w:rPr>
      </w:r>
    </w:p>
    <w:p>
      <w:pPr>
        <w:pStyle w:val="ListParagraph"/>
        <w:ind w:firstLine="240"/>
        <w:rPr>
          <w:rFonts w:ascii="Times New Roman" w:hAnsi="Times New Roman" w:cs="Times New Roman"/>
          <w:color w:val="0D0D0D"/>
          <w:sz w:val="24"/>
          <w:szCs w:val="24"/>
          <w:shd w:fill="FFFFFF" w:val="clear"/>
          <w:lang w:val="ru-RU"/>
        </w:rPr>
      </w:pPr>
      <w:r>
        <w:rPr>
          <w:rFonts w:cs="Times New Roman" w:ascii="Times New Roman" w:hAnsi="Times New Roman"/>
          <w:sz w:val="24"/>
          <w:szCs w:val="24"/>
          <w:lang w:val="ru-RU"/>
        </w:rPr>
        <w:t>Информационное противостояние между Китаем и США всегда было важным вопросом в аспекте международных отношений. С развитием информационных технологий и углублением глобализации информационное противостояние стало играть существенную роль в национальной безопасности и международной политике. Поэтому углубленное изучение китайско-американского информационного противостояния имеет большое теоретическое и практическое значение.</w:t>
      </w:r>
    </w:p>
    <w:p>
      <w:pPr>
        <w:pStyle w:val="Normal"/>
        <w:numPr>
          <w:ilvl w:val="0"/>
          <w:numId w:val="1"/>
        </w:numPr>
        <w:ind w:firstLine="168"/>
        <w:rPr>
          <w:rFonts w:ascii="Times New Roman" w:hAnsi="Times New Roman" w:cs="Times New Roman"/>
          <w:b/>
          <w:b/>
          <w:bCs/>
          <w:sz w:val="24"/>
          <w:szCs w:val="24"/>
          <w:lang w:val="ru-RU"/>
        </w:rPr>
      </w:pPr>
      <w:r>
        <w:rPr>
          <w:rFonts w:cs="Times New Roman" w:ascii="Times New Roman" w:hAnsi="Times New Roman"/>
          <w:b/>
          <w:bCs/>
          <w:sz w:val="24"/>
          <w:szCs w:val="24"/>
          <w:lang w:val="ru-RU"/>
        </w:rPr>
        <w:t>Информационная война Соединенных Штатов против Китая в ретроспективе</w:t>
      </w:r>
    </w:p>
    <w:p>
      <w:pPr>
        <w:pStyle w:val="Normal"/>
        <w:ind w:firstLine="168"/>
        <w:rPr>
          <w:rFonts w:ascii="Times New Roman" w:hAnsi="Times New Roman" w:eastAsia="等线" w:cs="Times New Roman" w:eastAsiaTheme="minorEastAsia"/>
          <w:sz w:val="24"/>
          <w:szCs w:val="24"/>
          <w:lang w:val="en-US" w:eastAsia="zh-CN"/>
        </w:rPr>
      </w:pPr>
      <w:r>
        <w:rPr>
          <w:rFonts w:cs="Times New Roman" w:ascii="Times New Roman" w:hAnsi="Times New Roman"/>
          <w:sz w:val="24"/>
          <w:szCs w:val="24"/>
          <w:lang w:val="ru-RU"/>
        </w:rPr>
        <w:t>В 1917г. президент Вильсон учредил Комитет общественной информации. Позднее президент Рузвельт учредил Управление военной информации и Управление стратегических служб, предшественников Информационного агентства США и Центрального разведывательного управления соответственно. После основания Китайской Народной Республики в 1949 году Соединенные Штаты использовали апробированные механизмы для начала информационной войны против Китая, основанной на общей идее правительственной концепции формирования общественного мнения во время холодной войны. Информационная война против Китая сформировала механизм координации между левыми и правыми ведомствами в США, направленный на достижение единой цели: согласованными действиями влиять на внутреннее и международное общественное мнение, касающееся Китая</w:t>
      </w:r>
      <w:r>
        <w:rPr>
          <w:rFonts w:cs="Times New Roman" w:ascii="Times New Roman" w:hAnsi="Times New Roman"/>
          <w:sz w:val="24"/>
          <w:szCs w:val="24"/>
          <w:lang w:val="en-US" w:eastAsia="zh-CN"/>
        </w:rPr>
        <w:t>[1].</w:t>
      </w:r>
    </w:p>
    <w:p>
      <w:pPr>
        <w:pStyle w:val="Normal"/>
        <w:ind w:firstLine="168"/>
        <w:rPr>
          <w:rFonts w:ascii="Times New Roman" w:hAnsi="Times New Roman" w:cs="Times New Roman"/>
          <w:b/>
          <w:b/>
          <w:bCs/>
          <w:sz w:val="24"/>
          <w:szCs w:val="24"/>
          <w:lang w:val="ru-RU"/>
        </w:rPr>
      </w:pPr>
      <w:r>
        <w:rPr>
          <w:rFonts w:cs="Times New Roman" w:ascii="Times New Roman" w:hAnsi="Times New Roman"/>
          <w:b/>
          <w:bCs/>
          <w:sz w:val="24"/>
          <w:szCs w:val="24"/>
          <w:lang w:val="ru-RU"/>
        </w:rPr>
        <w:t>2. Нынешнее конфронтационное мышление Соединенных Штатов и Китая</w:t>
      </w:r>
    </w:p>
    <w:p>
      <w:pPr>
        <w:pStyle w:val="Normal"/>
        <w:ind w:firstLine="168"/>
        <w:rPr>
          <w:rFonts w:ascii="Times New Roman" w:hAnsi="Times New Roman" w:eastAsia="等线" w:cs="Times New Roman" w:eastAsiaTheme="minorEastAsia"/>
          <w:sz w:val="24"/>
          <w:szCs w:val="24"/>
          <w:lang w:val="en-US" w:eastAsia="zh-CN"/>
        </w:rPr>
      </w:pPr>
      <w:r>
        <w:rPr>
          <w:rFonts w:cs="Times New Roman" w:ascii="Times New Roman" w:hAnsi="Times New Roman"/>
          <w:b/>
          <w:bCs/>
          <w:sz w:val="24"/>
          <w:szCs w:val="24"/>
          <w:lang w:val="ru-RU"/>
        </w:rPr>
        <w:t xml:space="preserve"> </w:t>
      </w:r>
      <w:r>
        <w:rPr>
          <w:rFonts w:cs="Times New Roman" w:ascii="Times New Roman" w:hAnsi="Times New Roman"/>
          <w:sz w:val="24"/>
          <w:szCs w:val="24"/>
          <w:lang w:val="ru-RU"/>
        </w:rPr>
        <w:t>В настоящее время Соединенные Штаты придерживаются четырех конфронтационных логик в отношении Китая</w:t>
      </w:r>
      <w:r>
        <w:rPr>
          <w:rFonts w:cs="Times New Roman" w:ascii="Times New Roman" w:hAnsi="Times New Roman"/>
          <w:sz w:val="24"/>
          <w:szCs w:val="24"/>
          <w:lang w:val="en-US" w:eastAsia="zh-CN"/>
        </w:rPr>
        <w:t>[2].</w:t>
      </w:r>
    </w:p>
    <w:p>
      <w:pPr>
        <w:pStyle w:val="Normal"/>
        <w:ind w:firstLine="168"/>
        <w:rPr>
          <w:rFonts w:ascii="Times New Roman" w:hAnsi="Times New Roman" w:cs="Times New Roman"/>
          <w:sz w:val="24"/>
          <w:szCs w:val="24"/>
          <w:lang w:val="ru-RU"/>
        </w:rPr>
      </w:pPr>
      <w:r>
        <w:rPr>
          <w:rFonts w:cs="Times New Roman" w:ascii="Times New Roman" w:hAnsi="Times New Roman"/>
          <w:sz w:val="24"/>
          <w:szCs w:val="24"/>
          <w:u w:val="single"/>
          <w:lang w:val="ru-RU"/>
        </w:rPr>
        <w:t>Мышление холодной войны:</w:t>
      </w:r>
      <w:r>
        <w:rPr>
          <w:rFonts w:cs="Times New Roman" w:ascii="Times New Roman" w:hAnsi="Times New Roman"/>
          <w:sz w:val="24"/>
          <w:szCs w:val="24"/>
          <w:lang w:val="ru-RU"/>
        </w:rPr>
        <w:t xml:space="preserve"> «Направьте меч на Китай»: Китай является страной-конкурентом, которая не только намеревается изменить международный порядок, но также обладает экономической, конституционной, военной и технологической мощью для поддержания международного порядка.</w:t>
      </w:r>
    </w:p>
    <w:p>
      <w:pPr>
        <w:pStyle w:val="Normal"/>
        <w:ind w:firstLine="168"/>
        <w:rPr>
          <w:rFonts w:ascii="Times New Roman" w:hAnsi="Times New Roman" w:cs="Times New Roman"/>
          <w:sz w:val="24"/>
          <w:szCs w:val="24"/>
          <w:lang w:val="ru-RU"/>
        </w:rPr>
      </w:pPr>
      <w:r>
        <w:rPr>
          <w:rFonts w:cs="Times New Roman" w:ascii="Times New Roman" w:hAnsi="Times New Roman"/>
          <w:sz w:val="24"/>
          <w:szCs w:val="24"/>
          <w:u w:val="single"/>
          <w:lang w:val="ru-RU"/>
        </w:rPr>
        <w:t>Мышление с нулевой суммой «абсолютной безопасности»</w:t>
      </w:r>
      <w:r>
        <w:rPr>
          <w:rFonts w:cs="Times New Roman" w:ascii="Times New Roman" w:hAnsi="Times New Roman"/>
          <w:sz w:val="24"/>
          <w:szCs w:val="24"/>
          <w:lang w:val="ru-RU"/>
        </w:rPr>
        <w:t>: взяв в качестве примера администрацию Байдена, Китай перечислил множество новых угроз безопасности, но не предложил углублять международное сотрудничество в области безопасности. Вместо этого он постоянно подчеркивал, что защищает национальные интересы и собственную безопасность.</w:t>
      </w:r>
    </w:p>
    <w:p>
      <w:pPr>
        <w:pStyle w:val="Normal"/>
        <w:ind w:firstLine="168"/>
        <w:rPr>
          <w:rFonts w:ascii="Times New Roman" w:hAnsi="Times New Roman" w:cs="Times New Roman"/>
          <w:sz w:val="24"/>
          <w:szCs w:val="24"/>
          <w:lang w:val="ru-RU"/>
        </w:rPr>
      </w:pPr>
      <w:r>
        <w:rPr>
          <w:rFonts w:cs="Times New Roman" w:ascii="Times New Roman" w:hAnsi="Times New Roman"/>
          <w:sz w:val="24"/>
          <w:szCs w:val="24"/>
          <w:u w:val="single"/>
          <w:lang w:val="ru-RU"/>
        </w:rPr>
        <w:t>Гегемонистское мышление «эстетического превосходства»:</w:t>
      </w:r>
      <w:r>
        <w:rPr>
          <w:rFonts w:cs="Times New Roman" w:ascii="Times New Roman" w:hAnsi="Times New Roman"/>
          <w:sz w:val="24"/>
          <w:szCs w:val="24"/>
          <w:lang w:val="ru-RU"/>
        </w:rPr>
        <w:t xml:space="preserve"> то, как сверхдержавы сдерживают мир посредством революций, является гегемонией Соединенных Штатов и «международным порядком», поддерживаемым Соединенными Штатами.</w:t>
      </w:r>
    </w:p>
    <w:p>
      <w:pPr>
        <w:pStyle w:val="Normal"/>
        <w:ind w:firstLine="168"/>
        <w:rPr>
          <w:rFonts w:ascii="Times New Roman" w:hAnsi="Times New Roman" w:eastAsia="等线" w:cs="Times New Roman" w:eastAsiaTheme="minorEastAsia"/>
          <w:sz w:val="24"/>
          <w:szCs w:val="24"/>
          <w:lang w:val="en-US" w:eastAsia="zh-CN"/>
        </w:rPr>
      </w:pPr>
      <w:r>
        <w:rPr>
          <w:rFonts w:cs="Times New Roman" w:ascii="Times New Roman" w:hAnsi="Times New Roman"/>
          <w:sz w:val="24"/>
          <w:szCs w:val="24"/>
          <w:u w:val="single"/>
          <w:lang w:val="ru-RU"/>
        </w:rPr>
        <w:t xml:space="preserve">Мышление «выбора стороны»: </w:t>
      </w:r>
      <w:r>
        <w:rPr>
          <w:rFonts w:cs="Times New Roman" w:ascii="Times New Roman" w:hAnsi="Times New Roman"/>
          <w:sz w:val="24"/>
          <w:szCs w:val="24"/>
          <w:lang w:val="ru-RU"/>
        </w:rPr>
        <w:t>взяв в качестве примера российско-украинскую войну, антироссийский альянс начал развивать трехстороннее партнерство в области безопасности в рамках Индо-Тихоокеанской стратегии, направленное против Китая</w:t>
      </w:r>
      <w:r>
        <w:rPr>
          <w:rFonts w:cs="Times New Roman" w:ascii="Times New Roman" w:hAnsi="Times New Roman"/>
          <w:sz w:val="24"/>
          <w:szCs w:val="24"/>
          <w:lang w:val="en-US" w:eastAsia="zh-CN"/>
        </w:rPr>
        <w:t>[3].</w:t>
      </w:r>
    </w:p>
    <w:p>
      <w:pPr>
        <w:pStyle w:val="Normal"/>
        <w:ind w:firstLine="168"/>
        <w:rPr>
          <w:rFonts w:ascii="Times New Roman" w:hAnsi="Times New Roman" w:cs="Times New Roman"/>
          <w:sz w:val="24"/>
          <w:szCs w:val="24"/>
          <w:lang w:val="ru-RU"/>
        </w:rPr>
      </w:pPr>
      <w:r>
        <w:rPr>
          <w:rFonts w:cs="Times New Roman" w:ascii="Times New Roman" w:hAnsi="Times New Roman"/>
          <w:sz w:val="24"/>
          <w:szCs w:val="24"/>
          <w:lang w:val="ru-RU"/>
        </w:rPr>
        <w:t>Три основные логики нынешней конфронтации Китая:</w:t>
      </w:r>
    </w:p>
    <w:p>
      <w:pPr>
        <w:pStyle w:val="Normal"/>
        <w:ind w:firstLine="168"/>
        <w:rPr>
          <w:rFonts w:ascii="Times New Roman" w:hAnsi="Times New Roman" w:cs="Times New Roman"/>
          <w:sz w:val="24"/>
          <w:szCs w:val="24"/>
          <w:lang w:val="ru-RU"/>
        </w:rPr>
      </w:pPr>
      <w:r>
        <w:rPr>
          <w:rFonts w:cs="Times New Roman" w:ascii="Times New Roman" w:hAnsi="Times New Roman"/>
          <w:sz w:val="24"/>
          <w:szCs w:val="24"/>
          <w:u w:val="single"/>
          <w:lang w:val="ru-RU"/>
        </w:rPr>
        <w:t>Непременное требование мирного сосуществования</w:t>
      </w:r>
      <w:r>
        <w:rPr>
          <w:rFonts w:cs="Times New Roman" w:ascii="Times New Roman" w:hAnsi="Times New Roman"/>
          <w:sz w:val="24"/>
          <w:szCs w:val="24"/>
          <w:lang w:val="ru-RU"/>
        </w:rPr>
        <w:t>: Китай считает, что мировое сосуществование является фундаментальной целью, которую Китай и Соединенные Штаты должны преследовать.</w:t>
      </w:r>
    </w:p>
    <w:p>
      <w:pPr>
        <w:pStyle w:val="Normal"/>
        <w:ind w:firstLine="168"/>
        <w:rPr>
          <w:rFonts w:ascii="Times New Roman" w:hAnsi="Times New Roman" w:cs="Times New Roman"/>
          <w:sz w:val="24"/>
          <w:szCs w:val="24"/>
          <w:lang w:val="ru-RU"/>
        </w:rPr>
      </w:pPr>
      <w:r>
        <w:rPr>
          <w:rFonts w:cs="Times New Roman" w:ascii="Times New Roman" w:hAnsi="Times New Roman"/>
          <w:sz w:val="24"/>
          <w:szCs w:val="24"/>
          <w:u w:val="single"/>
          <w:lang w:val="ru-RU"/>
        </w:rPr>
        <w:t>Оборонительное мышление, основанное на предотвращении нападения</w:t>
      </w:r>
      <w:r>
        <w:rPr>
          <w:rFonts w:cs="Times New Roman" w:ascii="Times New Roman" w:hAnsi="Times New Roman"/>
          <w:sz w:val="24"/>
          <w:szCs w:val="24"/>
          <w:lang w:val="ru-RU"/>
        </w:rPr>
        <w:t>: защитное мышление, основанное на контрразведке, противодействии проникновению и «промыванию мозгов» и основанное на принципе «не говори, просто делай».</w:t>
      </w:r>
    </w:p>
    <w:p>
      <w:pPr>
        <w:pStyle w:val="Normal"/>
        <w:ind w:firstLine="168"/>
        <w:rPr>
          <w:rFonts w:ascii="Times New Roman" w:hAnsi="Times New Roman" w:eastAsia="等线" w:cs="Times New Roman" w:eastAsiaTheme="minorEastAsia"/>
          <w:sz w:val="24"/>
          <w:szCs w:val="24"/>
          <w:lang w:val="en-US" w:eastAsia="zh-CN"/>
        </w:rPr>
      </w:pPr>
      <w:r>
        <w:rPr>
          <w:rFonts w:cs="Times New Roman" w:ascii="Times New Roman" w:hAnsi="Times New Roman"/>
          <w:sz w:val="24"/>
          <w:szCs w:val="24"/>
          <w:u w:val="single"/>
          <w:lang w:val="ru-RU"/>
        </w:rPr>
        <w:t>Долгосрочное мышление «целенаправленной дипломатии»:</w:t>
      </w:r>
      <w:r>
        <w:rPr>
          <w:rFonts w:cs="Times New Roman" w:ascii="Times New Roman" w:hAnsi="Times New Roman"/>
          <w:sz w:val="24"/>
          <w:szCs w:val="24"/>
          <w:lang w:val="ru-RU"/>
        </w:rPr>
        <w:t xml:space="preserve"> во-первых, укрепить структуру высшего уровня и создать многопартийный и многоуровневый механизм сотрудничества. Во-вторых, создать зарубежный механизм двойной связи и принять во внимание общественное мнение, касающееся Китая. Наконец, подтвердить сотрудничество с международными организациями и принять участие в глобальном мониторинге</w:t>
      </w:r>
      <w:r>
        <w:rPr>
          <w:rFonts w:cs="Times New Roman" w:ascii="Times New Roman" w:hAnsi="Times New Roman"/>
          <w:sz w:val="24"/>
          <w:szCs w:val="24"/>
          <w:lang w:val="en-US" w:eastAsia="zh-CN"/>
        </w:rPr>
        <w:t>[4].</w:t>
      </w:r>
    </w:p>
    <w:p>
      <w:pPr>
        <w:pStyle w:val="Normal"/>
        <w:ind w:firstLine="168"/>
        <w:rPr>
          <w:rFonts w:ascii="Times New Roman" w:hAnsi="Times New Roman" w:cs="Times New Roman"/>
          <w:b/>
          <w:b/>
          <w:bCs/>
          <w:sz w:val="24"/>
          <w:szCs w:val="24"/>
          <w:lang w:val="ru-RU"/>
        </w:rPr>
      </w:pPr>
      <w:r>
        <w:rPr>
          <w:rFonts w:cs="Times New Roman" w:ascii="Times New Roman" w:hAnsi="Times New Roman"/>
          <w:b/>
          <w:bCs/>
          <w:sz w:val="24"/>
          <w:szCs w:val="24"/>
          <w:lang w:val="ru-RU"/>
        </w:rPr>
        <w:t>3. Определение, сущность и процесс китайско-американской информационной войны.</w:t>
      </w:r>
    </w:p>
    <w:p>
      <w:pPr>
        <w:pStyle w:val="ListParagraph"/>
        <w:ind w:hanging="0"/>
        <w:rPr>
          <w:rFonts w:ascii="Times New Roman" w:hAnsi="Times New Roman" w:cs="Times New Roman"/>
          <w:sz w:val="24"/>
          <w:szCs w:val="24"/>
          <w:lang w:val="ru-RU"/>
        </w:rPr>
      </w:pPr>
      <w:r>
        <w:rPr>
          <w:rFonts w:cs="Times New Roman" w:ascii="Times New Roman" w:hAnsi="Times New Roman"/>
          <w:sz w:val="24"/>
          <w:szCs w:val="24"/>
          <w:lang w:val="ru-RU"/>
        </w:rPr>
        <w:t>Стратегические коммуникации в информационной войне между США и Китаем включают целенаправленные усилия правительства по пониманию и охвату ключевых аудиторий посредством скоординированных сообщений, тем, планов, проектов и действий правительственных учреждений.</w:t>
      </w:r>
    </w:p>
    <w:p>
      <w:pPr>
        <w:pStyle w:val="ListParagraph"/>
        <w:ind w:hanging="0"/>
        <w:rPr>
          <w:rFonts w:ascii="Times New Roman" w:hAnsi="Times New Roman" w:cs="Times New Roman"/>
          <w:sz w:val="24"/>
          <w:szCs w:val="24"/>
          <w:lang w:val="ru-RU"/>
        </w:rPr>
      </w:pPr>
      <w:r>
        <w:rPr>
          <w:rFonts w:cs="Times New Roman" w:ascii="Times New Roman" w:hAnsi="Times New Roman"/>
          <w:sz w:val="24"/>
          <w:szCs w:val="24"/>
          <w:lang w:val="ru-RU"/>
        </w:rPr>
        <w:t>По сути, эффективная стратегическая коммуникация похожа на успешный концерт. Планирование и интеграция коммуникаций (CPI) представляет собой «Партитуру» выступления; «Оркестр» относится ко всем «Музыкантам», то есть соответствующим структурам, участвующим в коммуникации; «Музыка» — это скоординированные, синхронизированные действия в образах и словах. «Публика» - целевая аудитория, то есть объект коммуникации.</w:t>
      </w:r>
    </w:p>
    <w:p>
      <w:pPr>
        <w:pStyle w:val="ListParagraph"/>
        <w:ind w:hanging="0"/>
        <w:jc w:val="center"/>
        <w:rPr>
          <w:rFonts w:ascii="Times New Roman" w:hAnsi="Times New Roman" w:cs="Times New Roman"/>
          <w:b/>
          <w:b/>
          <w:bCs/>
          <w:color w:val="1A1A1A"/>
          <w:sz w:val="24"/>
          <w:szCs w:val="24"/>
          <w:shd w:fill="FFFFFF" w:val="clear"/>
          <w:lang w:val="ru-RU"/>
        </w:rPr>
      </w:pPr>
      <w:r>
        <w:rPr>
          <w:rFonts w:cs="Times New Roman" w:ascii="Times New Roman" w:hAnsi="Times New Roman"/>
          <w:b/>
          <w:bCs/>
          <w:color w:val="1A1A1A"/>
          <w:sz w:val="24"/>
          <w:szCs w:val="24"/>
          <w:shd w:fill="FFFFFF" w:val="clear"/>
          <w:lang w:val="ru-RU"/>
        </w:rPr>
      </w:r>
    </w:p>
    <w:p>
      <w:pPr>
        <w:pStyle w:val="ListParagraph"/>
        <w:ind w:hanging="0"/>
        <w:jc w:val="center"/>
        <w:rPr>
          <w:rFonts w:ascii="Times New Roman" w:hAnsi="Times New Roman" w:cs="Times New Roman"/>
          <w:b/>
          <w:b/>
          <w:bCs/>
          <w:color w:val="1A1A1A"/>
          <w:sz w:val="24"/>
          <w:szCs w:val="24"/>
          <w:shd w:fill="FFFFFF" w:val="clear"/>
          <w:lang w:val="ru-RU"/>
        </w:rPr>
      </w:pPr>
      <w:r>
        <w:rPr>
          <w:rFonts w:cs="Times New Roman" w:ascii="Times New Roman" w:hAnsi="Times New Roman"/>
          <w:b/>
          <w:bCs/>
          <w:color w:val="1A1A1A"/>
          <w:sz w:val="24"/>
          <w:szCs w:val="24"/>
          <w:shd w:fill="FFFFFF" w:val="clear"/>
          <w:lang w:val="ru-RU"/>
        </w:rPr>
        <w:t>Список источников и литературы</w:t>
      </w:r>
    </w:p>
    <w:p>
      <w:pPr>
        <w:pStyle w:val="ListParagraph"/>
        <w:numPr>
          <w:ilvl w:val="0"/>
          <w:numId w:val="2"/>
        </w:numPr>
        <w:ind w:hanging="0"/>
        <w:rPr>
          <w:rFonts w:ascii="Times New Roman" w:hAnsi="Times New Roman" w:cs="Times New Roman"/>
          <w:b w:val="false"/>
          <w:b w:val="false"/>
          <w:bCs w:val="false"/>
          <w:color w:val="1A1A1A"/>
          <w:sz w:val="24"/>
          <w:szCs w:val="24"/>
          <w:shd w:fill="FFFFFF" w:val="clear"/>
          <w:lang w:val="ru-RU"/>
        </w:rPr>
      </w:pPr>
      <w:r>
        <w:rPr>
          <w:rFonts w:cs="Times New Roman" w:ascii="Times New Roman" w:hAnsi="Times New Roman"/>
          <w:b w:val="false"/>
          <w:bCs w:val="false"/>
          <w:color w:val="1A1A1A"/>
          <w:sz w:val="24"/>
          <w:szCs w:val="24"/>
          <w:shd w:fill="FFFFFF" w:val="clear"/>
          <w:lang w:val="ru-RU"/>
        </w:rPr>
        <w:t>Ван Фань: «Современные международные отношения», том 8, 2019 г., страницы 59–65.</w:t>
      </w:r>
    </w:p>
    <w:p>
      <w:pPr>
        <w:pStyle w:val="ListParagraph"/>
        <w:numPr>
          <w:ilvl w:val="0"/>
          <w:numId w:val="2"/>
        </w:numPr>
        <w:ind w:hanging="0"/>
        <w:rPr>
          <w:rFonts w:ascii="Times New Roman" w:hAnsi="Times New Roman" w:cs="Times New Roman"/>
          <w:b w:val="false"/>
          <w:b w:val="false"/>
          <w:bCs w:val="false"/>
          <w:color w:val="1A1A1A"/>
          <w:sz w:val="24"/>
          <w:szCs w:val="24"/>
          <w:shd w:fill="FFFFFF" w:val="clear"/>
          <w:lang w:val="ru-RU"/>
        </w:rPr>
      </w:pPr>
      <w:r>
        <w:rPr>
          <w:rFonts w:cs="Times New Roman" w:ascii="Times New Roman" w:hAnsi="Times New Roman"/>
          <w:b w:val="false"/>
          <w:bCs w:val="false"/>
          <w:color w:val="1A1A1A"/>
          <w:sz w:val="24"/>
          <w:szCs w:val="24"/>
          <w:shd w:fill="FFFFFF" w:val="clear"/>
          <w:lang w:val="ru-RU"/>
        </w:rPr>
        <w:t>Консультативный совет по общественной дипломатии США, Интегрированный годовой отчет по публичной дипломатии и международному телерадиовещанию за 2019 год: внимание к данным бюджета на 2018 финансовый год 131, 131. 179</w:t>
      </w:r>
    </w:p>
    <w:p>
      <w:pPr>
        <w:pStyle w:val="ListParagraph"/>
        <w:numPr>
          <w:ilvl w:val="0"/>
          <w:numId w:val="2"/>
        </w:numPr>
        <w:ind w:hanging="0"/>
        <w:rPr>
          <w:rFonts w:ascii="Times New Roman" w:hAnsi="Times New Roman" w:cs="Times New Roman"/>
          <w:b w:val="false"/>
          <w:b w:val="false"/>
          <w:bCs w:val="false"/>
          <w:color w:val="1A1A1A"/>
          <w:sz w:val="24"/>
          <w:szCs w:val="24"/>
          <w:shd w:fill="FFFFFF" w:val="clear"/>
          <w:lang w:val="ru-RU"/>
        </w:rPr>
      </w:pPr>
      <w:r>
        <w:rPr>
          <w:rFonts w:cs="Times New Roman" w:ascii="Times New Roman" w:hAnsi="Times New Roman"/>
          <w:b w:val="false"/>
          <w:bCs w:val="false"/>
          <w:color w:val="1A1A1A"/>
          <w:sz w:val="24"/>
          <w:szCs w:val="24"/>
          <w:shd w:fill="FFFFFF" w:val="clear"/>
          <w:lang w:val="ru-RU"/>
        </w:rPr>
        <w:t>Юань Юэ. Война общественного мнения США против Китая и стратегия реагирования нашей страны [J]. Изучение международных отношений, 2021, (02): 134-154+159.</w:t>
      </w:r>
    </w:p>
    <w:p>
      <w:pPr>
        <w:pStyle w:val="ListParagraph"/>
        <w:numPr>
          <w:ilvl w:val="0"/>
          <w:numId w:val="2"/>
        </w:numPr>
        <w:ind w:hanging="0"/>
        <w:rPr>
          <w:rFonts w:ascii="Times New Roman" w:hAnsi="Times New Roman" w:cs="Times New Roman"/>
          <w:b w:val="false"/>
          <w:b w:val="false"/>
          <w:bCs w:val="false"/>
          <w:color w:val="1A1A1A"/>
          <w:sz w:val="24"/>
          <w:szCs w:val="24"/>
          <w:shd w:fill="FFFFFF" w:val="clear"/>
          <w:lang w:val="ru-RU"/>
        </w:rPr>
      </w:pPr>
      <w:bookmarkStart w:id="1" w:name="_GoBack"/>
      <w:r>
        <w:rPr>
          <w:rFonts w:cs="Times New Roman" w:ascii="Times New Roman" w:hAnsi="Times New Roman"/>
          <w:b w:val="false"/>
          <w:bCs w:val="false"/>
          <w:color w:val="1A1A1A"/>
          <w:sz w:val="24"/>
          <w:szCs w:val="24"/>
          <w:shd w:fill="FFFFFF" w:val="clear"/>
          <w:lang w:val="ru-RU"/>
        </w:rPr>
        <w:t>http://paper.people.com.cn/rmlt/html/2023-10/09/content_26023698.htm</w:t>
      </w:r>
      <w:bookmarkEnd w:id="1"/>
    </w:p>
    <w:p>
      <w:pPr>
        <w:pStyle w:val="ListParagraph"/>
        <w:ind w:hanging="0"/>
        <w:rPr>
          <w:rFonts w:ascii="Times New Roman" w:hAnsi="Times New Roman" w:cs="Times New Roman"/>
          <w:b w:val="false"/>
          <w:b w:val="false"/>
          <w:bCs w:val="false"/>
          <w:color w:val="1A1A1A"/>
          <w:sz w:val="24"/>
          <w:szCs w:val="24"/>
          <w:shd w:fill="FFFFFF" w:val="clear"/>
          <w:lang w:val="ru-RU"/>
        </w:rPr>
      </w:pPr>
      <w:r>
        <w:rPr/>
      </w:r>
    </w:p>
    <w:sectPr>
      <w:headerReference w:type="default" r:id="rId2"/>
      <w:type w:val="nextPage"/>
      <w:pgSz w:w="11906" w:h="16838"/>
      <w:pgMar w:left="1361" w:right="1361" w:gutter="0" w:header="851" w:top="1134" w:footer="0" w:bottom="1134"/>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等线">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22" w:after="0"/>
      <w:ind w:left="20" w:hanging="0"/>
      <w:jc w:val="left"/>
      <w:rPr/>
    </w:pPr>
    <w:r>
      <w:rPr>
        <w:rFonts w:cs="Times New Roman" w:ascii="Times New Roman" w:hAnsi="Times New Roman"/>
        <w:i/>
        <w:sz w:val="24"/>
        <w:szCs w:val="24"/>
      </w:rPr>
      <w:t>Конференция</w:t>
    </w:r>
    <w:r>
      <w:rPr>
        <w:rFonts w:cs="Times New Roman" w:ascii="Times New Roman" w:hAnsi="Times New Roman"/>
        <w:i/>
        <w:spacing w:val="63"/>
        <w:w w:val="150"/>
        <w:sz w:val="24"/>
        <w:szCs w:val="24"/>
      </w:rPr>
      <w:t xml:space="preserve"> </w:t>
    </w:r>
    <w:r>
      <w:rPr>
        <w:rFonts w:cs="Times New Roman" w:ascii="Times New Roman" w:hAnsi="Times New Roman"/>
        <w:i/>
        <w:sz w:val="24"/>
        <w:szCs w:val="24"/>
      </w:rPr>
      <w:t>«Ломоносов-</w:t>
    </w:r>
    <w:r>
      <w:rPr>
        <w:rFonts w:cs="Times New Roman" w:ascii="Times New Roman" w:hAnsi="Times New Roman"/>
        <w:i/>
        <w:spacing w:val="-2"/>
        <w:sz w:val="24"/>
        <w:szCs w:val="24"/>
      </w:rPr>
      <w:t>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autoRedefine/>
    <w:uiPriority w:val="0"/>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Style14" w:customStyle="1">
    <w:name w:val="Верхний колонтитул Знак"/>
    <w:basedOn w:val="DefaultParagraphFont"/>
    <w:uiPriority w:val="99"/>
    <w:qFormat/>
    <w:rPr>
      <w:sz w:val="18"/>
      <w:szCs w:val="18"/>
    </w:rPr>
  </w:style>
  <w:style w:type="character" w:styleId="Style15" w:customStyle="1">
    <w:name w:val="Нижний колонтитул Знак"/>
    <w:basedOn w:val="DefaultParagraphFont"/>
    <w:uiPriority w:val="99"/>
    <w:qFormat/>
    <w:rPr>
      <w:sz w:val="18"/>
      <w:szCs w:val="18"/>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Колонтитул"/>
    <w:basedOn w:val="Normal"/>
    <w:qFormat/>
    <w:pPr/>
    <w:rPr/>
  </w:style>
  <w:style w:type="paragraph" w:styleId="Style22">
    <w:name w:val="Footer"/>
    <w:basedOn w:val="Normal"/>
    <w:link w:val="Style15"/>
    <w:autoRedefine/>
    <w:uiPriority w:val="99"/>
    <w:unhideWhenUsed/>
    <w:qFormat/>
    <w:pPr>
      <w:tabs>
        <w:tab w:val="clear" w:pos="420"/>
        <w:tab w:val="center" w:pos="4153" w:leader="none"/>
        <w:tab w:val="right" w:pos="8306" w:leader="none"/>
      </w:tabs>
      <w:snapToGrid w:val="false"/>
      <w:jc w:val="left"/>
    </w:pPr>
    <w:rPr>
      <w:sz w:val="18"/>
      <w:szCs w:val="18"/>
    </w:rPr>
  </w:style>
  <w:style w:type="paragraph" w:styleId="Style23">
    <w:name w:val="Header"/>
    <w:basedOn w:val="Normal"/>
    <w:link w:val="Style14"/>
    <w:autoRedefine/>
    <w:uiPriority w:val="99"/>
    <w:unhideWhenUsed/>
    <w:qFormat/>
    <w:pPr>
      <w:tabs>
        <w:tab w:val="clear" w:pos="420"/>
        <w:tab w:val="center" w:pos="4153" w:leader="none"/>
        <w:tab w:val="right" w:pos="8306" w:leader="none"/>
      </w:tabs>
      <w:snapToGrid w:val="false"/>
      <w:jc w:val="center"/>
    </w:pPr>
    <w:rPr>
      <w:sz w:val="18"/>
      <w:szCs w:val="18"/>
    </w:rPr>
  </w:style>
  <w:style w:type="paragraph" w:styleId="ListParagraph">
    <w:name w:val="List Paragraph"/>
    <w:basedOn w:val="Normal"/>
    <w:autoRedefine/>
    <w:uiPriority w:val="34"/>
    <w:qFormat/>
    <w:pPr>
      <w:ind w:firstLine="420"/>
    </w:pPr>
    <w:rPr/>
  </w:style>
  <w:style w:type="table" w:default="1" w:styleId="4">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88</TotalTime>
  <Application>LibreOffice/7.3.7.2$Linux_X86_64 LibreOffice_project/30$Build-2</Application>
  <AppVersion>15.0000</AppVersion>
  <Pages>2</Pages>
  <Words>552</Words>
  <Characters>4414</Characters>
  <CharactersWithSpaces>4936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2024-02-15T15:36:00Z</dcterms:created>
  <dc:creator>来 未</dc:creator>
  <dc:description/>
  <dc:language>ru-RU</dc:language>
  <cp:lastModifiedBy/>
  <dcterms:modified xsi:type="dcterms:W3CDTF">2024-04-20T22:15:51Z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EB8910A446BE46FC8ABDD67F5F89A269_13</vt:lpwstr>
  </property>
  <property fmtid="{D5CDD505-2E9C-101B-9397-08002B2CF9AE}" pid="3" name="KSOProductBuildVer">
    <vt:lpwstr>2052-12.1.0.16388</vt:lpwstr>
  </property>
</Properties>
</file>