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240" w:after="240"/>
        <w:ind w:firstLine="720"/>
        <w:jc w:val="center"/>
        <w:rPr>
          <w:b w:val="false"/>
          <w:b w:val="fals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</w:rPr>
        <w:t>Сотрудничество Российской Федерации и Исламской Республики Иран в области обеспечения информационной безопасности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Буринская С.В.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Попков Г.И.2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Студент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Сибирский институт управления – филиал Российской академии народного хозяйства и государственной службы при Президенте РФ, Студент (бакалавр), 2026.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2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3"/>
          <w:u w:val="none"/>
          <w:effect w:val="none"/>
          <w:shd w:fill="auto" w:val="clear"/>
        </w:rPr>
        <w:t>Сибирский институт управления – филиал Российской академии народного хозяйства и государственной службы при Президенте РФ, Студент (бакалавр), 2026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</w:r>
    </w:p>
    <w:p>
      <w:pPr>
        <w:pStyle w:val="Style17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hyperlink r:id="rId2">
        <w:r>
          <w:rPr>
            <w:rFonts w:ascii="Times New Roman;serif" w:hAnsi="Times New Roman;serif"/>
            <w:b w:val="false"/>
            <w:i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bs0ny@yandex.ru</w:t>
        </w:r>
      </w:hyperlink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hyperlink r:id="rId3">
        <w:r>
          <w:rPr>
            <w:rFonts w:ascii="Times New Roman;serif" w:hAnsi="Times New Roman;serif"/>
            <w:b w:val="false"/>
            <w:i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popkov.gordey@mail.ru</w:t>
        </w:r>
      </w:hyperlink>
      <w:hyperlink r:id="rId4">
        <w:r>
          <w:rPr>
            <w:rFonts w:ascii="Times New Roman;serif" w:hAnsi="Times New Roman;serif"/>
            <w:b w:val="false"/>
            <w:i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 xml:space="preserve"> </w:t>
        </w:r>
      </w:hyperlink>
    </w:p>
    <w:p>
      <w:pPr>
        <w:pStyle w:val="Normal"/>
        <w:spacing w:before="240" w:after="240"/>
        <w:ind w:firstLine="720"/>
        <w:rPr>
          <w:rFonts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</w:rPr>
        <w:t>С повсеместным развитием информационных технологий и постоянной модернизации общества, человечество обретает всё новые возможности в интернет</w:t>
      </w: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eastAsia="Times New Roman" w:cs="Times New Roman"/>
          <w:sz w:val="28"/>
          <w:szCs w:val="28"/>
        </w:rPr>
        <w:t>пространстве. По отчету компании Meltwater в 2023 году активной деятельностью в сети Интернет занимаются около 5 млрд человек</w:t>
      </w:r>
      <w:r>
        <w:rPr>
          <w:rFonts w:eastAsia="Times New Roman" w:cs="Times New Roman"/>
          <w:sz w:val="28"/>
          <w:szCs w:val="28"/>
          <w:lang w:val="ru-RU"/>
        </w:rPr>
        <w:t xml:space="preserve"> [4]</w:t>
      </w:r>
      <w:r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  <w:highlight w:val="white"/>
        </w:rPr>
        <w:t>В условиях трансформации существующего миропорядка угрозы информационной безопасности, в частности развитие киберпреступности, имеют тенденцию</w:t>
      </w:r>
      <w:r>
        <w:rPr>
          <w:rFonts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>к экспоненциальному росту.</w:t>
      </w:r>
      <w:r>
        <w:rPr>
          <w:rFonts w:eastAsia="Times New Roman" w:cs="Times New Roman"/>
          <w:sz w:val="28"/>
          <w:szCs w:val="28"/>
        </w:rPr>
        <w:t xml:space="preserve"> </w:t>
        <w:br/>
        <w:t xml:space="preserve">С каждым годом повышается градус внешнеполитического напряжения, а разобщенность мира становится все более явной. Противостоящие страны имеют все больше взаимных притязаний в вопросе урегулирования мировых конфликтов. </w:t>
        <w:br/>
        <w:t>На данный момент все больше компаний стремится к внедрению и успешному использованию различных средств и способов улучшения качества защиты данных компаний и пользователей. Внедрение комплексной инфраструктуры нулевого доверия, развитие средств обнаружения, расследования и реагирования на инциденты (TDIR) в информационном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</w:rPr>
        <w:t>пространстве и других методов обеспечения информационной безопасности заявляют о качественной возможности обнаружения и предупреждения хакерских</w:t>
      </w:r>
      <w:r>
        <w:rPr>
          <w:rFonts w:eastAsia="Times New Roman" w:cs="Times New Roman"/>
          <w:sz w:val="28"/>
          <w:szCs w:val="28"/>
          <w:lang w:val="ru-RU"/>
        </w:rPr>
        <w:t> </w:t>
      </w:r>
      <w:r>
        <w:rPr>
          <w:rFonts w:eastAsia="Times New Roman" w:cs="Times New Roman"/>
          <w:sz w:val="28"/>
          <w:szCs w:val="28"/>
        </w:rPr>
        <w:t>атак</w:t>
      </w:r>
      <w:r>
        <w:rPr>
          <w:rFonts w:eastAsia="Times New Roman" w:cs="Times New Roman"/>
          <w:sz w:val="28"/>
          <w:szCs w:val="28"/>
          <w:lang w:val="en-US"/>
        </w:rPr>
        <w:t> </w:t>
      </w:r>
      <w:r>
        <w:rPr>
          <w:rFonts w:eastAsia="Times New Roman" w:cs="Times New Roman"/>
          <w:sz w:val="28"/>
          <w:szCs w:val="28"/>
          <w:lang w:val="ru-RU"/>
        </w:rPr>
        <w:t>[1]</w:t>
      </w:r>
      <w:r>
        <w:rPr>
          <w:rFonts w:eastAsia="Times New Roman" w:cs="Times New Roman"/>
          <w:sz w:val="28"/>
          <w:szCs w:val="28"/>
        </w:rPr>
        <w:t xml:space="preserve">. </w:t>
        <w:br/>
        <w:t xml:space="preserve">Россия и Иран в настоящее время являются тесными партнерами в разных экономических и политических сферах. Стратегические цели и амбиции стран-оппонентов на международной арене вызывают взаимные опасения, подавляемые посредством кибератак. Дальнейшее рассмотрение перспектив сотрудничества стран в области обеспечения информационной безопасности является актуальной задачей как для РФ, так и для Ирана. </w:t>
        <w:br/>
        <w:t>Сотрудничество Российской Федерации и Исламской Республики Иран в области кибербезопасности на данный момент обеспечено лишь одним соглашением между правительствами этих государств. Текст данного соглашения был подготовлен 21 января 2021 года МИД РФ и был одобрен Парламентом Исламской Республики Иран 10 декабря 2023</w:t>
      </w:r>
      <w:r>
        <w:rPr>
          <w:rFonts w:eastAsia="Times New Roman" w:cs="Times New Roman"/>
          <w:sz w:val="28"/>
          <w:szCs w:val="28"/>
          <w:lang w:val="ru-RU"/>
        </w:rPr>
        <w:t> 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  <w:lang w:val="en-US"/>
        </w:rPr>
        <w:t> </w:t>
      </w:r>
      <w:r>
        <w:rPr>
          <w:rFonts w:eastAsia="Times New Roman" w:cs="Times New Roman"/>
          <w:sz w:val="28"/>
          <w:szCs w:val="28"/>
          <w:lang w:val="ru-RU"/>
        </w:rPr>
        <w:t>[3].</w:t>
        <w:br/>
      </w:r>
      <w:r>
        <w:rPr>
          <w:rFonts w:eastAsia="Times New Roman" w:cs="Times New Roman"/>
          <w:sz w:val="28"/>
          <w:szCs w:val="28"/>
        </w:rPr>
        <w:t xml:space="preserve">В данном документе определяются основные угрозы в области обеспечения информационной безопасности. Примером являются </w:t>
      </w:r>
      <w:r>
        <w:rPr>
          <w:rFonts w:eastAsia="Times New Roman" w:cs="Times New Roman"/>
          <w:sz w:val="28"/>
          <w:szCs w:val="28"/>
          <w:highlight w:val="white"/>
        </w:rPr>
        <w:t>акты, направленные на нарушение суверенитета, безопасности и территориальной целостности государств и вмешательства во внутренние дела государств, нарушения общественного порядка, разжигания межнациональной, межрасовой и межрелигиозной вражды, распространения расистских и ксенофобских идей и теорий, порождающих ненависть и дискриминацию, подстрекающих к насилию и нестабильности, а также для дестабилизации внутриполитической и социально-экономической обстановки и вмешательства в государственное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>управление</w:t>
      </w:r>
      <w:r>
        <w:rPr>
          <w:sz w:val="28"/>
          <w:szCs w:val="28"/>
          <w:highlight w:val="white"/>
          <w:lang w:val="en-US"/>
        </w:rPr>
        <w:t> </w:t>
      </w:r>
      <w:r>
        <w:rPr>
          <w:rFonts w:eastAsia="Times New Roman" w:cs="Times New Roman"/>
          <w:sz w:val="28"/>
          <w:szCs w:val="28"/>
          <w:highlight w:val="white"/>
          <w:lang w:val="ru-RU"/>
        </w:rPr>
        <w:t>[2]</w:t>
      </w:r>
      <w:r>
        <w:rPr>
          <w:rFonts w:eastAsia="Times New Roman" w:cs="Times New Roman"/>
          <w:sz w:val="28"/>
          <w:szCs w:val="28"/>
        </w:rPr>
        <w:t xml:space="preserve">. </w:t>
        <w:br/>
        <w:t xml:space="preserve">Учитывая перечисленные угрозы информационной безопасности, заинтересованные стороны, основываясь на условиях принятого соглашения, будут осуществлять сотрудничество по таким вопросам, как укрепление информационной безопасности, борьба с преступлениями, связанными с использованием информационно-коммуникационных технологий, оказание технической и технологической взаимопомощи. </w:t>
        <w:br/>
        <w:t xml:space="preserve">Данное соглашение можно считать началом полноценного межгосударственного сотрудничества государств, имеющих опыт в области обеспечения информационной безопасности. </w:t>
        <w:br/>
      </w:r>
      <w:r>
        <w:rPr>
          <w:rFonts w:eastAsia="Times New Roman" w:cs="Times New Roman"/>
          <w:sz w:val="28"/>
          <w:szCs w:val="28"/>
          <w:lang w:val="ru-RU"/>
        </w:rPr>
        <w:t>Таким образом, п</w:t>
      </w:r>
      <w:r>
        <w:rPr>
          <w:rFonts w:eastAsia="Times New Roman" w:cs="Times New Roman"/>
          <w:sz w:val="28"/>
          <w:szCs w:val="28"/>
        </w:rPr>
        <w:t xml:space="preserve">постепенный рост потенциала российско-иранского сотрудничества в сфере информационной безопасности открывает широкие перспективы укрепления уровня не только локальной внутригосударственной, но и международной безопасности. </w:t>
      </w:r>
    </w:p>
    <w:p>
      <w:pPr>
        <w:pStyle w:val="Normal"/>
        <w:shd w:val="clear" w:color="auto" w:fill="FFFFFF"/>
        <w:spacing w:lineRule="auto" w:line="360" w:before="0" w:after="220"/>
        <w:jc w:val="center"/>
        <w:rPr>
          <w:rFonts w:eastAsia="Times New Roman" w:cs="Times New Roman"/>
          <w:b/>
          <w:b/>
          <w:color w:val="212529"/>
          <w:sz w:val="28"/>
          <w:szCs w:val="28"/>
          <w:lang w:val="ru-RU"/>
        </w:rPr>
      </w:pPr>
      <w:r>
        <w:rPr>
          <w:rFonts w:eastAsia="Times New Roman" w:cs="Times New Roman"/>
          <w:b/>
          <w:color w:val="212529"/>
          <w:sz w:val="28"/>
          <w:szCs w:val="28"/>
          <w:lang w:val="ru-RU"/>
        </w:rPr>
      </w:r>
    </w:p>
    <w:p>
      <w:pPr>
        <w:pStyle w:val="Normal"/>
        <w:shd w:val="clear" w:color="auto" w:fill="FFFFFF"/>
        <w:spacing w:lineRule="auto" w:line="360" w:before="0" w:after="220"/>
        <w:jc w:val="center"/>
        <w:rPr>
          <w:rFonts w:eastAsia="Times New Roman" w:cs="Times New Roman"/>
          <w:b/>
          <w:b/>
          <w:color w:val="212529"/>
          <w:sz w:val="28"/>
          <w:szCs w:val="28"/>
          <w:lang w:val="ru-RU"/>
        </w:rPr>
      </w:pPr>
      <w:r>
        <w:rPr>
          <w:rFonts w:eastAsia="Times New Roman" w:cs="Times New Roman"/>
          <w:b/>
          <w:color w:val="212529"/>
          <w:sz w:val="28"/>
          <w:szCs w:val="28"/>
        </w:rPr>
        <w:t xml:space="preserve">Источники  </w:t>
      </w:r>
      <w:r>
        <w:rPr>
          <w:rFonts w:eastAsia="Times New Roman" w:cs="Times New Roman"/>
          <w:b/>
          <w:color w:val="212529"/>
          <w:sz w:val="28"/>
          <w:szCs w:val="28"/>
          <w:lang w:val="ru-RU"/>
        </w:rPr>
        <w:t>и литература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Главные тенденции в защите информации (Электронный ресурс)- </w:t>
      </w:r>
      <w:r>
        <w:fldChar w:fldCharType="begin"/>
      </w:r>
      <w:r>
        <w:rPr>
          <w:sz w:val="28"/>
          <w:szCs w:val="28"/>
        </w:rPr>
        <w:instrText xml:space="preserve"> HYPERLINK "https://www.tadviser.ru/index.php/Статья:Главные_тенденции_в_защите_информации" \l ".D0.9F.D1.80.D0.BE.D0.B3.D0.BD.D0.BE.D0.B7.D1.8B_.D0.B2_.D1.81.D1.84.D0.B5.D1.80.D0.B5_.D0.B8.D0.BD.D1.84.D0.BE.D1.80.D0.BC.D0.B0.D1.86.D0.B8.D0.BE.D0.BD.D0.BD.D0.BE.D0.B9_.D0.B1.D0.B5.D0.B7.D0.BE.D0.BF.D0.B0.D1.81.D0.BD.D0.BE.D1.81.D1.82.D0.B8_.D0.BD.D0."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https://www.tadviser.ru/index.php/Статья:Главные_тенденции_в_защите_информации#.D0.9F.D1.80.D0.BE.D0.B3.D0.BD.D0.BE.D0.B7.D1.8B_.D0.B2_.D1.81.D1.84.D0.B5.D1.80.D0.B5_.D0.B8.D0.BD.D1.84.D0.BE.D1.80.D0.BC.D0.B0.D1.86.D0.B8.D0.BE.D0.BD.D0.BD.D0.BE.D0.B9_.D0.B1.D0.B5.D0.B7.D0.BE.D0.BF.D0.B0.D1.81.D0.BD.D0.BE.D1.81.D1.82.D0.B8_.D0.BD.D0.B0_2024_.D0.B3.D0.BE.D0.B4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ru-RU"/>
        </w:rPr>
        <w:t xml:space="preserve"> (дата обращения- 11.02.2024)</w:t>
      </w:r>
    </w:p>
    <w:p>
      <w:pPr>
        <w:pStyle w:val="Style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hd w:val="clear" w:color="auto" w:fill="FFFFFF"/>
        <w:spacing w:lineRule="auto" w:line="360" w:before="0" w:after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Двусторонние договоры- Министерство Иностранных Дел Российской Федерации (Электронный ресурс): </w:t>
      </w:r>
      <w:hyperlink r:id="rId5">
        <w:r>
          <w:rPr>
            <w:sz w:val="28"/>
            <w:szCs w:val="28"/>
          </w:rPr>
          <w:t>https://www.mid.ru/ru/foreign_policy/international_contracts/international_contracts/2_contract/59914/</w:t>
        </w:r>
      </w:hyperlink>
      <w:r>
        <w:rPr>
          <w:sz w:val="28"/>
          <w:szCs w:val="28"/>
          <w:lang w:val="ru-RU"/>
        </w:rPr>
        <w:t xml:space="preserve"> (Дата обращения- 24.01.2024).</w:t>
      </w:r>
    </w:p>
    <w:p>
      <w:pPr>
        <w:pStyle w:val="Normal"/>
        <w:shd w:val="clear" w:color="auto" w:fill="FFFFFF"/>
        <w:spacing w:lineRule="auto" w:line="360" w:before="0" w:after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РИА Новости «Иран готовит соглашение с Россией в сфере информационной безопасности», 10.12.2023 (Электронный ресурс): </w:t>
      </w:r>
      <w:hyperlink r:id="rId6">
        <w:r>
          <w:rPr>
            <w:sz w:val="28"/>
            <w:szCs w:val="28"/>
            <w:lang w:val="ru-RU"/>
          </w:rPr>
          <w:t>https://ria.ru/20231210/iran-1914893273.html?utm_source=yxnews&amp;utm_medium=desktop</w:t>
        </w:r>
      </w:hyperlink>
      <w:r>
        <w:rPr>
          <w:sz w:val="28"/>
          <w:szCs w:val="28"/>
          <w:lang w:val="ru-RU"/>
        </w:rPr>
        <w:t xml:space="preserve">  (дата обращения- 24.01.2024).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2023 Global Digital Report (Электронный ресурс)- </w:t>
      </w:r>
      <w:hyperlink r:id="rId7">
        <w:r>
          <w:rPr>
            <w:sz w:val="28"/>
            <w:szCs w:val="28"/>
          </w:rPr>
          <w:t>https://www.meltwater.com/en/global-digital-trends</w:t>
        </w:r>
      </w:hyperlink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(дата обращения- 21.01.2024)</w:t>
      </w:r>
      <w:r>
        <w:rPr>
          <w:sz w:val="28"/>
          <w:szCs w:val="28"/>
          <w:lang w:val="ru-RU"/>
        </w:rPr>
        <w:t>.</w:t>
      </w:r>
    </w:p>
    <w:p>
      <w:pPr>
        <w:pStyle w:val="Normal"/>
        <w:shd w:val="clear" w:color="auto" w:fill="FFFFFF"/>
        <w:spacing w:lineRule="auto" w:line="360" w:before="0" w:after="220"/>
        <w:rPr>
          <w:lang w:val="ru-RU"/>
        </w:rPr>
      </w:pPr>
      <w:r>
        <w:rPr>
          <w:lang w:val="ru-RU"/>
        </w:rPr>
      </w:r>
    </w:p>
    <w:p>
      <w:pPr>
        <w:pStyle w:val="Normal"/>
        <w:shd w:val="clear" w:color="auto" w:fill="FFFFFF"/>
        <w:spacing w:lineRule="auto" w:line="360" w:before="0" w:after="220"/>
        <w:rPr>
          <w:lang w:val="ru-RU"/>
        </w:rPr>
      </w:pPr>
      <w:r>
        <w:rPr>
          <w:lang w:val="ru-RU"/>
        </w:rPr>
      </w:r>
    </w:p>
    <w:p>
      <w:pPr>
        <w:pStyle w:val="Normal"/>
        <w:shd w:val="clear" w:color="auto" w:fill="FFFFFF"/>
        <w:spacing w:lineRule="auto" w:line="360" w:before="0" w:after="220"/>
        <w:rPr>
          <w:lang w:val="ru-RU"/>
        </w:rPr>
      </w:pPr>
      <w:r>
        <w:rPr>
          <w:lang w:val="ru-RU"/>
        </w:rPr>
      </w:r>
    </w:p>
    <w:p>
      <w:pPr>
        <w:pStyle w:val="Normal"/>
        <w:shd w:val="clear" w:color="auto" w:fill="FFFFFF"/>
        <w:spacing w:lineRule="auto" w:line="360" w:before="0" w:after="220"/>
        <w:rPr>
          <w:rFonts w:eastAsia="Times New Roman" w:cs="Times New Roman"/>
          <w:b/>
          <w:b/>
          <w:color w:val="212529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1361" w:gutter="0" w:header="0" w:top="1134" w:footer="0" w:bottom="136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33c2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Arial" w:cs="Arial"/>
      <w:color w:val="auto"/>
      <w:kern w:val="0"/>
      <w:sz w:val="24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  <w:sz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qFormat/>
    <w:rsid w:val="00902ce9"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sid w:val="00902ce9"/>
    <w:rPr>
      <w:vertAlign w:val="superscript"/>
    </w:rPr>
  </w:style>
  <w:style w:type="character" w:styleId="Style10">
    <w:name w:val="Привязка сноски"/>
    <w:rPr>
      <w:vertAlign w:val="superscript"/>
    </w:rPr>
  </w:style>
  <w:style w:type="character" w:styleId="Style11">
    <w:name w:val="Интернет-ссылка"/>
    <w:basedOn w:val="DefaultParagraphFont"/>
    <w:uiPriority w:val="99"/>
    <w:unhideWhenUsed/>
    <w:rsid w:val="0083584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35843"/>
    <w:rPr>
      <w:color w:val="605E5C"/>
      <w:shd w:fill="E1DFDD" w:val="clear"/>
    </w:rPr>
  </w:style>
  <w:style w:type="character" w:styleId="Style12">
    <w:name w:val="Посещённая гиперссылка"/>
    <w:basedOn w:val="DefaultParagraphFont"/>
    <w:uiPriority w:val="99"/>
    <w:semiHidden/>
    <w:unhideWhenUsed/>
    <w:rsid w:val="00e34178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e6fa7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e6fa7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2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rFonts w:ascii="Arial" w:hAnsi="Arial"/>
      <w:color w:val="666666"/>
      <w:sz w:val="30"/>
      <w:szCs w:val="30"/>
    </w:rPr>
  </w:style>
  <w:style w:type="paragraph" w:styleId="Style23">
    <w:name w:val="Footnote Text"/>
    <w:basedOn w:val="Normal"/>
    <w:link w:val="Style8"/>
    <w:uiPriority w:val="99"/>
    <w:unhideWhenUsed/>
    <w:rsid w:val="00902ce9"/>
    <w:pPr/>
    <w:rPr>
      <w:sz w:val="20"/>
      <w:szCs w:val="20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3"/>
    <w:uiPriority w:val="99"/>
    <w:unhideWhenUsed/>
    <w:rsid w:val="00ee6fa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4"/>
    <w:uiPriority w:val="99"/>
    <w:unhideWhenUsed/>
    <w:rsid w:val="00ee6fa7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s0ny@yandex.ru" TargetMode="External"/><Relationship Id="rId3" Type="http://schemas.openxmlformats.org/officeDocument/2006/relationships/hyperlink" Target="mailto:popkov.gordey@mail.ru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www.mid.ru/ru/foreign_policy/international_contracts/international_contracts/2_contract/59914/" TargetMode="External"/><Relationship Id="rId6" Type="http://schemas.openxmlformats.org/officeDocument/2006/relationships/hyperlink" Target="https://ria.ru/20231210/iran-1914893273.html?utm_source=yxnews&amp;utm_medium=desktop" TargetMode="External"/><Relationship Id="rId7" Type="http://schemas.openxmlformats.org/officeDocument/2006/relationships/hyperlink" Target="https://www.meltwater.com/en/global-digital-trends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F8EE-0421-42EC-995D-7C4EFE19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3</Pages>
  <Words>479</Words>
  <Characters>4359</Characters>
  <CharactersWithSpaces>4839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2024-02-14T15:08:00Z</dcterms:created>
  <dc:creator>Софья</dc:creator>
  <dc:description/>
  <dc:language>ru-RU</dc:language>
  <cp:lastModifiedBy/>
  <dcterms:modified xsi:type="dcterms:W3CDTF">2024-04-20T11:51:10Z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