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charts/chart1.xml" ContentType="application/vnd.openxmlformats-officedocument.drawingml.chart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</w:rPr>
        <w:t>Вызовы безопасности России в Арктике в условиях милитаризации региона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Чауча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Т.Г.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государственный университет имени М.В.Ломоносова, Факультет мировой политики, Кафедра региональных проблем мировой политики, Студент (магистр), 2024</w:t>
      </w:r>
    </w:p>
    <w:p>
      <w:pPr>
        <w:pStyle w:val="Style1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tamriko17@bk.ru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1996 году представители Правительств всех Арктических государств подписали Оттавскую декларацию [1], в которой вопросы милитаризации не были затронуты и это упущение сыграло серьезную роль в политике стран в этом региона. 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Каждая из стран стала выражать интерес к усилению своего влияния на регион и вопрос милитаризации стал неотъемлемой частью формирования национальной безопасности и международной политики акторов в регионе.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</w:rPr>
        <w:t xml:space="preserve">Однако, за последние 5–8 лет термин «милитаризация» всё чаще применим для Арктики. </w:t>
      </w:r>
      <w:r>
        <w:rPr>
          <w:rFonts w:cs="Times New Roman" w:ascii="Times New Roman" w:hAnsi="Times New Roman"/>
          <w:b/>
          <w:bCs/>
        </w:rPr>
        <w:t>Данное исследование актуально</w:t>
      </w:r>
      <w:r>
        <w:rPr>
          <w:rFonts w:cs="Times New Roman" w:ascii="Times New Roman" w:hAnsi="Times New Roman"/>
        </w:rPr>
        <w:t xml:space="preserve"> по причине геополитической значимости данного явления для России, которая обладает большей частью территорий в Арктике, а также в связи с изменением значимости региона после событий 2022 года. Цель исследования - определить особенности угроз безопасности в регионе для России в контексте развития милитаризации в Арктике. </w:t>
      </w:r>
      <w:r>
        <w:rPr>
          <w:rFonts w:cs="Times New Roman" w:ascii="Times New Roman" w:hAnsi="Times New Roman"/>
          <w:color w:val="000000" w:themeColor="text1"/>
        </w:rPr>
        <w:t>Признаки милитаризации Арктики описаны в хрестоматии РСМД, посвященной данному региону. Так, А.А. Сергунин и В. Н. Конышев под процессом милитаризации понимают усиление военного присутствие региональных (прибрежных) стран в регионе, модернизацию их вооруженных сил (а также план о будущей модернизации), включая закупку военной техники, регулярное проведение военных учений, военное сотрудничество в регионе [2]. При этом сам термин «милитаризация» не используется в нормативно-правовой базе арктических стран. Вопросы наращивания военного присутствия в регионе сводятся к понятию «национальная безопасность». Различие в том, что российская сторона процесс восстановления военной мощи на территории АЗРФ называет ремилитаризацией, а действия Запада милитаризацией. В то время, как страны Запада занимают обратную позицию.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Милитаризация региона – это деструктивный процесс, в основе которого желание защитить свою территорию и национальные интересы от врага. В данном случае активный процесс милитаризации региона начался в 2013 году. 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По мнению автора исследования для милитаризации региона есть 3 основные причины: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Россия на законодательном уровне придает особый статут региону через утверждение Стратегии развития Арктической зоны Российской Федерации и обеспечения национальной̆ безопасности на период до 2020, в которой уделено внимание суверенитету и отстаивания национальных интересов в регионе [3].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>Вторым важным факторов является расширение стран-наблюдателей Арктического совета.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  <w:t xml:space="preserve">И конечно же, после этого формируемся новый центр силы для противостояния РФ и КНР в регионе 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графике 1 отображена статистика по проведенным военным учениям в Арктическом регионе. Не все учения в регионе проводили под эгидой НАТО, но сам факт участия стран из этого альянса и далеких от Арктики подтверждает тот факт, что создается блок влияния в регионе, который можно называть «Арктическое НАТО». Это является важным вызовом для России, которая в одиночку становится противовесом НАТО.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Однако, куда важнее проанализировать тенденции, которые исходят от основных участников Арктического совета. На графике №1 видно, что до 2018 года учений стран Запада было больше, чем военных учений России в регионе. Также важно отметить, что на графике отображены военные учения в регионе лишь в 2023 году до 1 сентября, так как хронологические рамки исследования охватывают с 01.01.2013 и до 01.09.2023 года.</w:t>
      </w:r>
    </w:p>
    <w:p>
      <w:pPr>
        <w:pStyle w:val="Normal"/>
        <w:ind w:firstLine="708"/>
        <w:jc w:val="right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График №1. Количество учений РФ и стран Запада (стран-участниц АС)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5341620" cy="3090545"/>
            <wp:effectExtent l="0" t="0" r="0" b="0"/>
            <wp:docPr id="1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Источник: составлено автором исследования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2018 году произошел переломный момент по количеству учений. Россия стала более активно проявлять себя в регионе. По мнению автора исследования, подобная ситуация сложилась в связи с двумя факторами: </w:t>
      </w:r>
    </w:p>
    <w:p>
      <w:pPr>
        <w:pStyle w:val="Normal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В 2018 году количество стран из НАТО, которые приняли участие в военных учениях, достигло максимума – тогда все страны, кроме Северной Македонии (но в 2022 и она уже участвовала в учениях альянса в Арктике). 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Следует отметить, что в данном графике подсчет учений исходит из проведенных учений и их участников за год, а не за один раз. Однако сам факт того, что к участию в арктических учениях альянс привлек всех страны-члены организации [4], уже показывает, что в Россия будет принимать ответные меры и не оставит эту ситуацию без внимания. Подчеркиваю, что именно с 2019 года Россия стала проводить учений больше, чем страны Запада.  При этом с началом СВО страны Запада снова усилили свое военное присутствие в регионе.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Другим важным факторов стали изменения в географии военных учений. Как со стороны стран Запада, так и со стороны РФ. </w:t>
      </w:r>
    </w:p>
    <w:p>
      <w:pPr>
        <w:pStyle w:val="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На основе анализа обширного фактического материала делается вывод о том, что регион остается для большинства стран периферийным с точки зрения нестратегической военной деятельности [5], однако тенденция к его секьюритизации в краткосрочной и среднесрочной перспективе ведет к углублению разделительных линий и затрудняет формирование в Арктике открытой архитектуры безопасности с участием Российской Федерации. Основным вызовов для России станет противостояние США в регионе и его союзникам.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ИСТОЧНИКИ</w:t>
      </w:r>
    </w:p>
    <w:p>
      <w:pPr>
        <w:pStyle w:val="Style2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Декларация об учреждении Арктического Совета от 19 сентября 1996 года [Электронный ресурс].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GB"/>
        </w:rPr>
        <w:t>URL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: </w:t>
      </w:r>
      <w:hyperlink r:id="rId3">
        <w:r>
          <w:rPr>
            <w:rFonts w:cs="Times New Roman" w:ascii="Times New Roman" w:hAnsi="Times New Roman"/>
            <w:color w:val="000000" w:themeColor="text1"/>
            <w:sz w:val="24"/>
            <w:szCs w:val="24"/>
            <w:u w:val="none"/>
          </w:rPr>
          <w:t>https://docs.cntd.ru/document/901880137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</w:p>
    <w:p>
      <w:pPr>
        <w:pStyle w:val="Style2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Хрестоматия РСМД «Арктический регион: проблемы международного сотрудничества».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[Электронный ресурс].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en-US"/>
        </w:rPr>
        <w:t>URL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: https://russiancouncil.ru/common/upload/Arctic%20Anthology%20Vol%201.pdf</w:t>
      </w:r>
    </w:p>
    <w:p>
      <w:pPr>
        <w:pStyle w:val="ListParagraph"/>
        <w:numPr>
          <w:ilvl w:val="0"/>
          <w:numId w:val="3"/>
        </w:numPr>
        <w:jc w:val="both"/>
        <w:rPr>
          <w:rStyle w:val="Style17"/>
          <w:rFonts w:ascii="Times New Roman" w:hAnsi="Times New Roman" w:cs="Times New Roman"/>
          <w:color w:val="auto"/>
          <w:u w:val="none"/>
        </w:rPr>
      </w:pPr>
      <w:r>
        <w:rPr>
          <w:rFonts w:cs="Times New Roman" w:ascii="Times New Roman" w:hAnsi="Times New Roman"/>
          <w:color w:val="000000" w:themeColor="text1"/>
        </w:rPr>
        <w:t xml:space="preserve">Стратегия развития арктической зоны Российской Федерации и обеспечения национальной безопасности на период до 2020 года [Электронный ресурс]. </w:t>
      </w:r>
      <w:r>
        <w:rPr>
          <w:rFonts w:cs="Times New Roman" w:ascii="Times New Roman" w:hAnsi="Times New Roman"/>
          <w:color w:val="000000" w:themeColor="text1"/>
          <w:lang w:val="en-GB"/>
        </w:rPr>
        <w:t>URL</w:t>
      </w:r>
      <w:r>
        <w:rPr>
          <w:rFonts w:cs="Times New Roman" w:ascii="Times New Roman" w:hAnsi="Times New Roman"/>
          <w:color w:val="000000" w:themeColor="text1"/>
        </w:rPr>
        <w:t xml:space="preserve">: </w:t>
      </w:r>
      <w:hyperlink r:id="rId4">
        <w:r>
          <w:rPr>
            <w:rFonts w:cs="Times New Roman" w:ascii="Times New Roman" w:hAnsi="Times New Roman"/>
            <w:color w:val="000000" w:themeColor="text1"/>
            <w:u w:val="none"/>
          </w:rPr>
          <w:t>http://static.government.ru/media/files/2RpSA3sctElhAGn4RN9dHrtzk0A3wZm8.pdf</w:t>
        </w:r>
      </w:hyperlink>
    </w:p>
    <w:p>
      <w:pPr>
        <w:pStyle w:val="Style2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Махмутова, Е. В. Российско-американское противостояние в Арктике / Е. В. Махмутова, Т. Г. Чачуа, И. Василик // Власть. – 2023. – Т. 31, № 2. – С. 78-84. – DOI 10.31171/vlast.v31i2.9541. – EDN DVBVBN.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Загорский, А. В. Военно-политическая обстановка в Арктике: очаги напряжённости и пути деэскалации / А. В. Загорский, А. А. Тодоров // Арктика и Север. – 2021. – № 44. – С. 79-102. – DOI 10.37482/issn2221-2698.2021.44.79. – EDN NLQQFJ.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b49c1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basedOn w:val="DefaultParagraphFont"/>
    <w:uiPriority w:val="99"/>
    <w:semiHidden/>
    <w:unhideWhenUsed/>
    <w:qFormat/>
    <w:rsid w:val="00b34d15"/>
    <w:rPr>
      <w:vertAlign w:val="superscript"/>
    </w:rPr>
  </w:style>
  <w:style w:type="character" w:styleId="Style15">
    <w:name w:val="Привязка сноски"/>
    <w:rPr>
      <w:vertAlign w:val="superscript"/>
    </w:rPr>
  </w:style>
  <w:style w:type="character" w:styleId="Style16" w:customStyle="1">
    <w:name w:val="Текст сноски Знак"/>
    <w:basedOn w:val="DefaultParagraphFont"/>
    <w:uiPriority w:val="99"/>
    <w:qFormat/>
    <w:rsid w:val="00b34d15"/>
    <w:rPr>
      <w:kern w:val="0"/>
      <w:sz w:val="20"/>
      <w:szCs w:val="20"/>
      <w14:ligatures w14:val="none"/>
    </w:rPr>
  </w:style>
  <w:style w:type="character" w:styleId="Style17">
    <w:name w:val="Интернет-ссылка"/>
    <w:basedOn w:val="DefaultParagraphFont"/>
    <w:uiPriority w:val="99"/>
    <w:unhideWhenUsed/>
    <w:rsid w:val="00b34d15"/>
    <w:rPr>
      <w:color w:val="0563C1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Footnote Text"/>
    <w:basedOn w:val="Normal"/>
    <w:link w:val="Style16"/>
    <w:uiPriority w:val="99"/>
    <w:unhideWhenUsed/>
    <w:rsid w:val="00b34d15"/>
    <w:pPr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34d15"/>
    <w:pPr>
      <w:spacing w:before="0" w:after="0"/>
      <w:ind w:left="720" w:hanging="0"/>
      <w:contextualSpacing/>
    </w:pPr>
    <w:rPr>
      <w:kern w:val="0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hyperlink" Target="https://docs.cntd.ru/document/901880137" TargetMode="External"/><Relationship Id="rId4" Type="http://schemas.openxmlformats.org/officeDocument/2006/relationships/hyperlink" Target="http://static.government.ru/media/files/2RpSA3sctElhAGn4RN9dHrtzk0A3wZm8.pdf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lang="ru-RU" sz="1400" spc="-1" strike="noStrike">
                <a:solidFill>
                  <a:srgbClr val="595959"/>
                </a:solidFill>
                <a:latin typeface="Times New Roman"/>
              </a:defRPr>
            </a:pPr>
            <a:r>
              <a:rPr b="0" lang="ru-RU" sz="1400" spc="-1" strike="noStrike">
                <a:solidFill>
                  <a:srgbClr val="595959"/>
                </a:solidFill>
                <a:latin typeface="Times New Roman"/>
              </a:rPr>
              <a:t>Количество учений РФ и стран Запада в Арктическом регионе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учения РФ</c:v>
                </c:pt>
              </c:strCache>
            </c:strRef>
          </c:tx>
          <c:spPr>
            <a:solidFill>
              <a:srgbClr val="4472c4"/>
            </a:solidFill>
            <a:ln cap="rnd" w="28440">
              <a:solidFill>
                <a:srgbClr val="4472c4"/>
              </a:solidFill>
              <a:round/>
            </a:ln>
          </c:spPr>
          <c:marker>
            <c:symbol val="none"/>
          </c:marker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6</c:v>
                </c:pt>
                <c:pt idx="10">
                  <c:v>9</c:v>
                </c:pt>
                <c:pt idx="11">
                  <c:v>9</c:v>
                </c:pt>
                <c:pt idx="12">
                  <c:v>8</c:v>
                </c:pt>
                <c:pt idx="13">
                  <c:v>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учения запада</c:v>
                </c:pt>
              </c:strCache>
            </c:strRef>
          </c:tx>
          <c:spPr>
            <a:solidFill>
              <a:srgbClr val="ed7d31"/>
            </a:solidFill>
            <a:ln cap="rnd" w="28440">
              <a:solidFill>
                <a:srgbClr val="ed7d31"/>
              </a:solidFill>
              <a:round/>
            </a:ln>
          </c:spPr>
          <c:marker>
            <c:symbol val="none"/>
          </c:marker>
          <c:dLbls>
            <c:txPr>
              <a:bodyPr wrap="squar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6</c:v>
                </c:pt>
                <c:pt idx="4">
                  <c:v>5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11</c:v>
                </c:pt>
                <c:pt idx="13">
                  <c:v>9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0"/>
        <c:axId val="98425683"/>
        <c:axId val="70348770"/>
      </c:lineChart>
      <c:catAx>
        <c:axId val="9842568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Times New Roman"/>
              </a:defRPr>
            </a:pPr>
          </a:p>
        </c:txPr>
        <c:crossAx val="70348770"/>
        <c:crosses val="autoZero"/>
        <c:auto val="1"/>
        <c:lblAlgn val="ctr"/>
        <c:lblOffset val="100"/>
        <c:noMultiLvlLbl val="0"/>
      </c:catAx>
      <c:valAx>
        <c:axId val="7034877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Times New Roman"/>
              </a:defRPr>
            </a:pPr>
          </a:p>
        </c:txPr>
        <c:crossAx val="98425683"/>
        <c:crosses val="autoZero"/>
        <c:crossBetween val="between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Times New Roman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5900A6-4519-2E43-80CF-693D8BBA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LibreOffice/7.3.7.2$Linux_X86_64 LibreOffice_project/30$Build-2</Application>
  <AppVersion>15.0000</AppVersion>
  <Pages>3</Pages>
  <Words>826</Words>
  <Characters>5336</Characters>
  <CharactersWithSpaces>6146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2024-02-13T09:36:00Z</dcterms:created>
  <dc:creator>Microsoft Office User</dc:creator>
  <dc:description/>
  <dc:language>ru-RU</dc:language>
  <cp:lastModifiedBy/>
  <dcterms:modified xsi:type="dcterms:W3CDTF">2024-04-20T12:05:46Z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