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3"/>
        <w:ind w:firstLine="709"/>
        <w:jc w:val="center"/>
        <w:rPr>
          <w:color w:val="171717" w:themeColor="background2" w:themeShade="1a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 w:themeShade="1a"/>
          <w:sz w:val="24"/>
          <w:u w:val="none"/>
          <w:effect w:val="none"/>
          <w:shd w:fill="auto" w:val="clear"/>
        </w:rPr>
        <w:t>Применимость системы по оценке потенциального сотрудничества в космосе к существующим проектам (на примере "Артемиды")</w:t>
      </w:r>
    </w:p>
    <w:p>
      <w:pPr>
        <w:pStyle w:val="Style13"/>
        <w:bidi w:val="0"/>
        <w:spacing w:lineRule="auto" w:line="307" w:before="0" w:after="0"/>
        <w:jc w:val="center"/>
        <w:rPr>
          <w:color w:val="171717" w:themeColor="background2" w:themeShade="1a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Макаров Д.Д.</w:t>
      </w:r>
    </w:p>
    <w:p>
      <w:pPr>
        <w:pStyle w:val="Style13"/>
        <w:bidi w:val="0"/>
        <w:spacing w:lineRule="auto" w:line="307" w:before="0" w:after="0"/>
        <w:jc w:val="center"/>
        <w:rPr>
          <w:color w:val="171717" w:themeColor="background2" w:themeShade="1a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Национальный исследовательский университет «Высшая школа экономики», Факультет мировой экономики и мировой политики, Студент (магистр), 2024</w:t>
      </w:r>
    </w:p>
    <w:p>
      <w:pPr>
        <w:pStyle w:val="Style13"/>
        <w:bidi w:val="0"/>
        <w:spacing w:lineRule="auto" w:line="307" w:before="0" w:after="0"/>
        <w:jc w:val="center"/>
        <w:rPr>
          <w:color w:val="171717" w:themeColor="background2" w:themeShade="1a"/>
        </w:rPr>
      </w:pPr>
      <w:r>
        <w:rPr>
          <w:rFonts w:eastAsia="Times New Roman" w:cs="Times New Roman"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eastAsia="Times New Roman" w:cs="Times New Roman"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dalek.mak@gmail.com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На фоне роста как количества акторов, задействованных в космической деятельности (государства и частные компании), так и интенсивности подобного взаимодействия, остро встает вопрос не только о соперничестве названных акторов, но и о вероятных формах их сотрудничества. Новая потребность в сотрудничестве, как и новые его форматы, произрастают из того простого факта, что у большинства задействованных акторов возможности по освоению и эксплуатации космического пространства – в первую очередь, технические – весьма ограничены.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Теоретические аспекты сотрудничества между государствами в космосе зачастую рассматриваются скорее как аномалия, нежели чем закономерность. Так, в “Астрополитике” Долман рассматривает взаимодействие между космическими державами с точки зрения их конфронтации, а кооперация, в свою очередь, носит частичный и неискренний характер [1]. На деле, однако, сотрудничество в проектах на самых разных уровнях является одним из ключевых “лейтмотивов” космической повестки, что особенно ярко отражается, например, в совместном освоении Луны.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Свою систему по оценке потенциальных проектов сотрудничества в космосе предложил в 2008 году коллектив авторов во главе с Дэвидом Бронятовски [2]. Авторами была предложена четкая модель, включающая в себя как политические, так и технологические аспекты рассматриваемых программ, а также деление на уровни – в соответствии со степенью вовлеченности государств в проект:</w:t>
      </w:r>
    </w:p>
    <w:p>
      <w:pPr>
        <w:pStyle w:val="Normal"/>
        <w:numPr>
          <w:ilvl w:val="0"/>
          <w:numId w:val="2"/>
        </w:numPr>
        <w:spacing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Отсутствие сотрудничества.</w:t>
      </w:r>
    </w:p>
    <w:p>
      <w:pPr>
        <w:pStyle w:val="Normal"/>
        <w:numPr>
          <w:ilvl w:val="0"/>
          <w:numId w:val="2"/>
        </w:numPr>
        <w:spacing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i/>
          <w:i/>
          <w:u w:val="none"/>
        </w:rPr>
      </w:pPr>
      <w:r>
        <w:rPr>
          <w:rFonts w:eastAsia="Times New Roman" w:cs="Times New Roman" w:ascii="Times New Roman" w:hAnsi="Times New Roman"/>
          <w:i/>
        </w:rPr>
        <w:t xml:space="preserve">Краткосрочное сотрудничество. </w:t>
      </w:r>
      <w:r>
        <w:rPr>
          <w:rFonts w:eastAsia="Times New Roman" w:cs="Times New Roman" w:ascii="Times New Roman" w:hAnsi="Times New Roman"/>
        </w:rPr>
        <w:t>Единоразовое подключение к конкретной программе с предоставлением конкретной технологии, недоступной второму государству.</w:t>
      </w:r>
    </w:p>
    <w:p>
      <w:pPr>
        <w:pStyle w:val="Normal"/>
        <w:numPr>
          <w:ilvl w:val="0"/>
          <w:numId w:val="2"/>
        </w:numPr>
        <w:spacing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eastAsia="Times New Roman" w:cs="Times New Roman" w:ascii="Times New Roman" w:hAnsi="Times New Roman"/>
          <w:i/>
        </w:rPr>
        <w:t>Долгосрочное сотрудничество</w:t>
      </w:r>
      <w:r>
        <w:rPr>
          <w:rFonts w:eastAsia="Times New Roman" w:cs="Times New Roman" w:ascii="Times New Roman" w:hAnsi="Times New Roman"/>
        </w:rPr>
        <w:t>. Аналогичное подключение к конкретной программе с предоставлением неких технологий, но на более постоянной основе.</w:t>
      </w:r>
    </w:p>
    <w:p>
      <w:pPr>
        <w:pStyle w:val="Normal"/>
        <w:numPr>
          <w:ilvl w:val="0"/>
          <w:numId w:val="2"/>
        </w:numPr>
        <w:spacing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Критический путь. </w:t>
      </w:r>
      <w:r>
        <w:rPr>
          <w:rFonts w:eastAsia="Times New Roman" w:cs="Times New Roman" w:ascii="Times New Roman" w:hAnsi="Times New Roman"/>
        </w:rPr>
        <w:t>Подключение к программе с предоставлением технологии, являющейся ключевым элементом, без которого выполнение упомянутой программы не представляется возможным.</w:t>
      </w:r>
    </w:p>
    <w:p>
      <w:pPr>
        <w:pStyle w:val="Normal"/>
        <w:numPr>
          <w:ilvl w:val="0"/>
          <w:numId w:val="2"/>
        </w:numPr>
        <w:spacing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Параллельные проекты. </w:t>
      </w:r>
      <w:r>
        <w:rPr>
          <w:rFonts w:eastAsia="Times New Roman" w:cs="Times New Roman" w:ascii="Times New Roman" w:hAnsi="Times New Roman"/>
        </w:rPr>
        <w:t>Выполнение несколькими государствами параллельных миссий с аналогичными целями, в рамках которых происходит обмен данными / технологиями, не несущими, впрочем, критического веса для успеха миссии.</w:t>
      </w:r>
    </w:p>
    <w:p>
      <w:pPr>
        <w:pStyle w:val="Normal"/>
        <w:numPr>
          <w:ilvl w:val="0"/>
          <w:numId w:val="2"/>
        </w:numPr>
        <w:ind w:left="720" w:hanging="360"/>
        <w:jc w:val="both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Межнациональное институционное сотрудничество. </w:t>
      </w:r>
      <w:r>
        <w:rPr>
          <w:rFonts w:eastAsia="Times New Roman" w:cs="Times New Roman" w:ascii="Times New Roman" w:hAnsi="Times New Roman"/>
        </w:rPr>
        <w:t>Работа нескольких государств в рамках одной организации. Такой сценарий требует от участников отказаться от части суверенитета в сфере своей космической политики [2].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Такое разделение по уровням плохо применимо к складывающимся сегодня практикам, не отражая определенные критические аспекты новых форматов сотрудничества. Например, совместное освоение луны США и Японией технически подпадает под уровень критического пути, поскольку США предоставляют Японии возможность высадить астронавтов на лунной поверхности. Однако определение, данное Бронятовски и коллективом, во-первых, подразумевает взаимозависимость между двумя государствами, которую в данном случае можно оспорить; во-вторых, опускает особый уровень зависимости в космической политики, когда одно государство (Япония) буквально вписывает в официальные документы космическую программу другого государства (США) в качестве инструмента для достижения своих целей [3], отказываясь тем самым от части суверенитета по реализации своей космической политики.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Дальнейшее рассмотрение программ через технологические и политические аспекты проходит на общем уровне соответствия программы тем целям и принципам, которые описываются в ключевых документах государства, посвященных космической политике и внешней политике [2]. Такой подход работает не только при первичной оценке соответствия программ государственным критериям, но и при ретроспективной оценке уже существующих программ сотрудничества – при условии, что учитывается и контекст конкретных программ. В случае с лунными программами США и Японии очевидно, что причины и рассматриваемые факторы данного сотрудничества выходили далеко за пределы общей концепции по освоению космического пространства каждого из государств. 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Таким образом, система оценки потенциальных проектов сотрудничества в космосе в своем изначальном виде лишь частично применима для оценки уже существующих проектов между государствами. Концентрация на амальгамации политических и технологических факторов позволяет в общих чертах оценить причины сотрудничества, хотя требуется дополнительный контекст – в том числе, политический ландшафт в самих государствах. Уровни сотрудничества, предложенные коллективом авторов, не отражают сложившиеся на сегодня реалии, но с определенными поправками также могут быть использованы – например, для отслеживания динамики сотрудничества между государствами.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Dolman, E., 2002. Astropolitik: Classical Geopolitics in the Space Age,. Frank Cass Publishers, 208 p.;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</w:rPr>
        <w:t>Broniatowski, D. A., 2008. A framework for evaluating international cooperation in space exploration. Space Policy, 24, pp.: 181-189;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eastAsia="Times New Roman" w:cs="Times New Roman" w:ascii="Times New Roman" w:hAnsi="Times New Roman"/>
        </w:rPr>
        <w:t xml:space="preserve">Implementation Plan of the Basic Plan on Space Policy / CAO [электронный ресурс]. URL: </w:t>
      </w:r>
      <w:hyperlink r:id="rId2">
        <w:r>
          <w:rPr>
            <w:rFonts w:eastAsia="Times New Roman" w:cs="Times New Roman" w:ascii="Times New Roman" w:hAnsi="Times New Roman"/>
            <w:color w:val="1155CC"/>
            <w:u w:val="single"/>
          </w:rPr>
          <w:t>https://www8.cao.go.jp/space/english/basicplan/2017/basicplan.pdf</w:t>
        </w:r>
      </w:hyperlink>
      <w:r>
        <w:rPr>
          <w:rFonts w:eastAsia="Times New Roman" w:cs="Times New Roman" w:ascii="Times New Roman" w:hAnsi="Times New Roman"/>
        </w:rPr>
        <w:t xml:space="preserve"> (Дата обращения: 16.02.2024).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ef3a65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сноски Знак"/>
    <w:basedOn w:val="DefaultParagraphFont"/>
    <w:uiPriority w:val="99"/>
    <w:semiHidden/>
    <w:qFormat/>
    <w:rsid w:val="00ec4e52"/>
    <w:rPr>
      <w:sz w:val="20"/>
      <w:szCs w:val="20"/>
    </w:rPr>
  </w:style>
  <w:style w:type="character" w:styleId="Style9">
    <w:name w:val="Символ сноски"/>
    <w:basedOn w:val="DefaultParagraphFont"/>
    <w:uiPriority w:val="99"/>
    <w:semiHidden/>
    <w:unhideWhenUsed/>
    <w:qFormat/>
    <w:rsid w:val="00ec4e52"/>
    <w:rPr>
      <w:vertAlign w:val="superscript"/>
    </w:rPr>
  </w:style>
  <w:style w:type="character" w:styleId="Style10">
    <w:name w:val="Привязка сноски"/>
    <w:rPr>
      <w:vertAlign w:val="superscript"/>
    </w:rPr>
  </w:style>
  <w:style w:type="character" w:styleId="Style11">
    <w:name w:val="Интернет-ссылка"/>
    <w:basedOn w:val="DefaultParagraphFont"/>
    <w:uiPriority w:val="99"/>
    <w:unhideWhenUsed/>
    <w:rsid w:val="00306d96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7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8">
    <w:name w:val="Footnote Text"/>
    <w:basedOn w:val="Normal"/>
    <w:link w:val="Style8"/>
    <w:uiPriority w:val="99"/>
    <w:semiHidden/>
    <w:unhideWhenUsed/>
    <w:rsid w:val="00ec4e52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526c7"/>
    <w:pPr>
      <w:spacing w:before="0" w:after="200"/>
      <w:ind w:left="720" w:hanging="0"/>
      <w:contextualSpacing/>
    </w:pPr>
    <w:rPr/>
  </w:style>
  <w:style w:type="paragraph" w:styleId="Style19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8.cao.go.jp/space/english/basicplan/2017/basicplan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1oIURE7KyywNShn1QBhrkqk0dWg==">CgMxLjA4AHIhMW9vNmVaSXQyenNjeXRjdnphN09KbEdnamJBRVQ0cHpW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2</Pages>
  <Words>643</Words>
  <Characters>4669</Characters>
  <CharactersWithSpaces>5290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2023-03-03T16:15:00Z</dcterms:created>
  <dc:creator>secda</dc:creator>
  <dc:description/>
  <dc:language>ru-RU</dc:language>
  <cp:lastModifiedBy/>
  <dcterms:modified xsi:type="dcterms:W3CDTF">2024-04-20T10:42:15Z</dcterms:modified>
  <cp:revision>1</cp:revision>
  <dc:subject/>
  <dc:title/>
</cp:coreProperties>
</file>