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0" w:lineRule="atLeast"/>
        <w:ind w:left="340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bookmarkStart w:name="page1" w:id="0"/>
      <w:bookmarkEnd w:id="0"/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К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онференция «Ломоносов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-202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4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»</w:t>
      </w:r>
    </w:p>
    <w:p>
      <w:pPr>
        <w:pStyle w:val="Normal.0"/>
        <w:spacing w:line="20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97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  <w:ind w:left="1760" w:hanging="176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Секция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Информационное обеспечение внешней политики</w:t>
      </w:r>
    </w:p>
    <w:p>
      <w:pPr>
        <w:pStyle w:val="Normal.0"/>
        <w:spacing w:line="20" w:lineRule="atLeast"/>
        <w:ind w:left="1760" w:hanging="176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0" w:lineRule="atLeast"/>
        <w:ind w:left="1760" w:hanging="176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««Мягкая сила» как инструмент внешнеполитического влияния Германии»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</w:p>
    <w:p>
      <w:pPr>
        <w:pStyle w:val="Normal.0"/>
        <w:spacing w:line="185" w:lineRule="exact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0" w:lineRule="atLeast"/>
        <w:ind w:left="1620" w:hanging="162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Научный руководитель –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Феофанов Константин Анатольевич</w:t>
      </w:r>
    </w:p>
    <w:p>
      <w:pPr>
        <w:pStyle w:val="Normal.0"/>
        <w:spacing w:line="130" w:lineRule="exact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line="20" w:lineRule="atLeast"/>
        <w:ind w:left="2800" w:hanging="280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Штрик Руслан Романович</w:t>
      </w:r>
    </w:p>
    <w:p>
      <w:pPr>
        <w:pStyle w:val="Normal.0"/>
        <w:spacing w:line="20" w:lineRule="exact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Студент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магистр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</w:p>
    <w:p>
      <w:pPr>
        <w:pStyle w:val="Normal.0"/>
        <w:spacing w:line="20" w:lineRule="exact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51" w:lineRule="auto"/>
        <w:ind w:left="260" w:hanging="26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Дипломатическая академия Министерства иностранных дел Российской Федерации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Факультет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«Международные отношения»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Москва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</w:t>
      </w:r>
    </w:p>
    <w:p>
      <w:pPr>
        <w:pStyle w:val="Normal.0"/>
        <w:spacing w:line="20" w:lineRule="exact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0" w:lineRule="atLeast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E-mail: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ruslan88783@gmail.com</w:t>
      </w:r>
    </w:p>
    <w:p>
      <w:pPr>
        <w:pStyle w:val="Normal.0"/>
        <w:spacing w:line="22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Heading 8"/>
        <w:rPr>
          <w:sz w:val="24"/>
          <w:szCs w:val="24"/>
        </w:rPr>
      </w:pPr>
      <w:r>
        <w:tab/>
      </w:r>
      <w:r>
        <w:rPr>
          <w:rFonts w:cs="Arial Unicode MS" w:eastAsia="Arial Unicode MS" w:hint="default"/>
          <w:sz w:val="24"/>
          <w:szCs w:val="24"/>
          <w:rtl w:val="0"/>
        </w:rPr>
        <w:t xml:space="preserve">Рубеж </w:t>
      </w:r>
      <w:r>
        <w:rPr>
          <w:rFonts w:cs="Arial Unicode MS" w:eastAsia="Arial Unicode MS"/>
          <w:sz w:val="24"/>
          <w:szCs w:val="24"/>
          <w:rtl w:val="0"/>
          <w:lang w:val="it-IT"/>
        </w:rPr>
        <w:t xml:space="preserve">XX-XXI </w:t>
      </w:r>
      <w:r>
        <w:rPr>
          <w:rFonts w:cs="Arial Unicode MS" w:eastAsia="Arial Unicode MS" w:hint="default"/>
          <w:sz w:val="24"/>
          <w:szCs w:val="24"/>
          <w:rtl w:val="0"/>
        </w:rPr>
        <w:t>вв</w:t>
      </w:r>
      <w:r>
        <w:rPr>
          <w:rFonts w:cs="Arial Unicode MS" w:eastAsia="Arial Unicode MS"/>
          <w:sz w:val="24"/>
          <w:szCs w:val="24"/>
          <w:rtl w:val="0"/>
        </w:rPr>
        <w:t xml:space="preserve">. </w:t>
      </w:r>
      <w:r>
        <w:rPr>
          <w:rFonts w:cs="Arial Unicode MS" w:eastAsia="Arial Unicode MS" w:hint="default"/>
          <w:sz w:val="24"/>
          <w:szCs w:val="24"/>
          <w:rtl w:val="0"/>
          <w:lang w:val="ru-RU"/>
        </w:rPr>
        <w:t>обозначил в мировой истории начало принципиально новой эры</w:t>
      </w:r>
      <w:r>
        <w:rPr>
          <w:rFonts w:cs="Arial Unicode MS" w:eastAsia="Arial Unicode MS"/>
          <w:sz w:val="24"/>
          <w:szCs w:val="24"/>
          <w:rtl w:val="0"/>
        </w:rPr>
        <w:t xml:space="preserve">. </w:t>
      </w:r>
      <w:r>
        <w:rPr>
          <w:rFonts w:cs="Arial Unicode MS" w:eastAsia="Arial Unicode MS" w:hint="default"/>
          <w:sz w:val="24"/>
          <w:szCs w:val="24"/>
          <w:rtl w:val="0"/>
          <w:lang w:val="ru-RU"/>
        </w:rPr>
        <w:t>В современной мировой политике заметно возросла роль гибких факторов</w:t>
      </w:r>
      <w:r>
        <w:rPr>
          <w:rFonts w:cs="Arial Unicode MS" w:eastAsia="Arial Unicode MS"/>
          <w:sz w:val="24"/>
          <w:szCs w:val="24"/>
          <w:rtl w:val="0"/>
        </w:rPr>
        <w:t xml:space="preserve">, </w:t>
      </w:r>
      <w:r>
        <w:rPr>
          <w:rFonts w:cs="Arial Unicode MS" w:eastAsia="Arial Unicode MS" w:hint="default"/>
          <w:sz w:val="24"/>
          <w:szCs w:val="24"/>
          <w:rtl w:val="0"/>
          <w:lang w:val="ru-RU"/>
        </w:rPr>
        <w:t>усиливается влияние «мягких» инструментов воздействия на систему международных отношений</w:t>
      </w:r>
      <w:r>
        <w:rPr>
          <w:rFonts w:cs="Arial Unicode MS" w:eastAsia="Arial Unicode MS"/>
          <w:sz w:val="24"/>
          <w:szCs w:val="24"/>
          <w:rtl w:val="0"/>
        </w:rPr>
        <w:t>.</w:t>
      </w:r>
      <w:r>
        <w:rPr>
          <w:rFonts w:cs="Arial Unicode MS" w:eastAsia="Arial Unicode MS"/>
          <w:sz w:val="24"/>
          <w:szCs w:val="24"/>
          <w:rtl w:val="0"/>
          <w:lang w:val="ru-RU"/>
        </w:rPr>
        <w:t xml:space="preserve"> </w:t>
      </w:r>
      <w:r>
        <w:rPr>
          <w:rFonts w:cs="Arial Unicode MS" w:eastAsia="Arial Unicode MS" w:hint="default"/>
          <w:sz w:val="24"/>
          <w:szCs w:val="24"/>
          <w:rtl w:val="0"/>
          <w:lang w:val="ru-RU"/>
        </w:rPr>
        <w:t>Изучение успешного опыта применения политики «мягкой силы» ФРГ также актуально для России</w:t>
      </w:r>
      <w:r>
        <w:rPr>
          <w:rFonts w:cs="Arial Unicode MS" w:eastAsia="Arial Unicode MS"/>
          <w:sz w:val="24"/>
          <w:szCs w:val="24"/>
          <w:rtl w:val="0"/>
        </w:rPr>
        <w:t xml:space="preserve">. </w:t>
      </w:r>
      <w:r>
        <w:rPr>
          <w:rFonts w:cs="Arial Unicode MS" w:eastAsia="Arial Unicode MS" w:hint="default"/>
          <w:sz w:val="24"/>
          <w:szCs w:val="24"/>
          <w:rtl w:val="0"/>
        </w:rPr>
        <w:t>Несмотря на то</w:t>
      </w:r>
      <w:r>
        <w:rPr>
          <w:rFonts w:cs="Arial Unicode MS" w:eastAsia="Arial Unicode MS"/>
          <w:sz w:val="24"/>
          <w:szCs w:val="24"/>
          <w:rtl w:val="0"/>
        </w:rPr>
        <w:t xml:space="preserve">, </w:t>
      </w:r>
      <w:r>
        <w:rPr>
          <w:rFonts w:cs="Arial Unicode MS" w:eastAsia="Arial Unicode MS" w:hint="default"/>
          <w:sz w:val="24"/>
          <w:szCs w:val="24"/>
          <w:rtl w:val="0"/>
          <w:lang w:val="ru-RU"/>
        </w:rPr>
        <w:t>что важность учета возможностей инструментов «мягкой силы» подчеркнута в Концепции внешней поли</w:t>
      </w:r>
      <w:r>
        <w:rPr>
          <w:rFonts w:cs="Arial Unicode MS" w:eastAsia="Arial Unicode MS"/>
          <w:sz w:val="24"/>
          <w:szCs w:val="24"/>
          <w:rtl w:val="0"/>
          <w:lang w:val="ru-RU"/>
        </w:rPr>
        <w:t xml:space="preserve">- </w:t>
      </w:r>
      <w:r>
        <w:rPr>
          <w:rFonts w:cs="Arial Unicode MS" w:eastAsia="Arial Unicode MS" w:hint="default"/>
          <w:sz w:val="24"/>
          <w:szCs w:val="24"/>
          <w:rtl w:val="0"/>
          <w:lang w:val="ru-RU"/>
        </w:rPr>
        <w:t>тики РФ</w:t>
      </w:r>
      <w:r>
        <w:rPr>
          <w:rFonts w:cs="Arial Unicode MS" w:eastAsia="Arial Unicode MS"/>
          <w:sz w:val="24"/>
          <w:szCs w:val="24"/>
          <w:rtl w:val="0"/>
        </w:rPr>
        <w:t xml:space="preserve">, </w:t>
      </w:r>
      <w:r>
        <w:rPr>
          <w:rFonts w:cs="Arial Unicode MS" w:eastAsia="Arial Unicode MS" w:hint="default"/>
          <w:sz w:val="24"/>
          <w:szCs w:val="24"/>
          <w:rtl w:val="0"/>
          <w:lang w:val="ru-RU"/>
        </w:rPr>
        <w:t>ей не всегда хватает ресурсов для формирования своей привлекательности</w:t>
      </w:r>
      <w:r>
        <w:rPr>
          <w:rFonts w:cs="Arial Unicode MS" w:eastAsia="Arial Unicode MS"/>
          <w:sz w:val="24"/>
          <w:szCs w:val="24"/>
          <w:rtl w:val="0"/>
        </w:rPr>
        <w:t xml:space="preserve">. </w:t>
      </w:r>
      <w:r>
        <w:rPr>
          <w:rFonts w:cs="Arial Unicode MS" w:eastAsia="Arial Unicode MS" w:hint="default"/>
          <w:sz w:val="24"/>
          <w:szCs w:val="24"/>
          <w:rtl w:val="0"/>
          <w:lang w:val="ru-RU"/>
        </w:rPr>
        <w:t>В этих условиях требуется понимание того</w:t>
      </w:r>
      <w:r>
        <w:rPr>
          <w:rFonts w:cs="Arial Unicode MS" w:eastAsia="Arial Unicode MS"/>
          <w:sz w:val="24"/>
          <w:szCs w:val="24"/>
          <w:rtl w:val="0"/>
        </w:rPr>
        <w:t xml:space="preserve">, </w:t>
      </w:r>
      <w:r>
        <w:rPr>
          <w:rFonts w:cs="Arial Unicode MS" w:eastAsia="Arial Unicode MS" w:hint="default"/>
          <w:sz w:val="24"/>
          <w:szCs w:val="24"/>
          <w:rtl w:val="0"/>
          <w:lang w:val="ru-RU"/>
        </w:rPr>
        <w:t>какие инструменты влияния имеются у РФ</w:t>
      </w:r>
      <w:r>
        <w:rPr>
          <w:rFonts w:cs="Arial Unicode MS" w:eastAsia="Arial Unicode MS"/>
          <w:sz w:val="24"/>
          <w:szCs w:val="24"/>
          <w:rtl w:val="0"/>
        </w:rPr>
        <w:t xml:space="preserve">, </w:t>
      </w:r>
      <w:r>
        <w:rPr>
          <w:rFonts w:cs="Arial Unicode MS" w:eastAsia="Arial Unicode MS" w:hint="default"/>
          <w:sz w:val="24"/>
          <w:szCs w:val="24"/>
          <w:rtl w:val="0"/>
          <w:lang w:val="ru-RU"/>
        </w:rPr>
        <w:t>для того чтобы можно было эффективно применять «мягкую силу» на внешнеполитической арене</w:t>
      </w:r>
      <w:r>
        <w:rPr>
          <w:rFonts w:cs="Arial Unicode MS" w:eastAsia="Arial Unicode MS"/>
          <w:sz w:val="24"/>
          <w:szCs w:val="24"/>
          <w:rtl w:val="0"/>
        </w:rPr>
        <w:t xml:space="preserve">. </w:t>
      </w:r>
    </w:p>
    <w:p>
      <w:pPr>
        <w:pStyle w:val="Heading 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rtl w:val="0"/>
          <w:lang w:val="ru-RU"/>
        </w:rPr>
        <w:t>Ц</w:t>
      </w:r>
      <w:r>
        <w:rPr>
          <w:sz w:val="24"/>
          <w:szCs w:val="24"/>
          <w:rtl w:val="0"/>
          <w:lang w:val="ru-RU"/>
        </w:rPr>
        <w:t>ель</w:t>
      </w:r>
      <w:r>
        <w:rPr>
          <w:sz w:val="24"/>
          <w:szCs w:val="24"/>
          <w:rtl w:val="0"/>
          <w:lang w:val="ru-RU"/>
        </w:rPr>
        <w:t xml:space="preserve"> исследования —</w:t>
      </w:r>
      <w:r>
        <w:rPr>
          <w:sz w:val="24"/>
          <w:szCs w:val="24"/>
          <w:rtl w:val="0"/>
          <w:lang w:val="ru-RU"/>
        </w:rPr>
        <w:t xml:space="preserve"> анализ использования Германией инструментов «Мягкой силы»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изучение каналов влияния на иностранные государства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а также современного состояния внешней политики ФРГ и возможные перспективные направления для использования «мягкой силы» Российской Федерацией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  <w:lang w:val="ru-RU"/>
        </w:rPr>
        <w:t xml:space="preserve"> Критерии анализа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сравнение текстов федеральных законов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анализ исторических особенностей развития ФРГ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исследование примеров работы акторов «Мягкой силы» Германии на пространстве СНГ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Новизна исследования представляется устареванием многих основных работ по этой проблематике в контексте Постсоветского пространства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т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к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после начала Специальной Военной операции в </w:t>
      </w:r>
      <w:r>
        <w:rPr>
          <w:sz w:val="24"/>
          <w:szCs w:val="24"/>
          <w:rtl w:val="0"/>
          <w:lang w:val="ru-RU"/>
        </w:rPr>
        <w:t xml:space="preserve">2022 </w:t>
      </w:r>
      <w:r>
        <w:rPr>
          <w:sz w:val="24"/>
          <w:szCs w:val="24"/>
          <w:rtl w:val="0"/>
          <w:lang w:val="ru-RU"/>
        </w:rPr>
        <w:t>года большинство из акторов германской «Мягкой силы» были выведены из территории РФ или объявлены Иностранными агентами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Самые новые статьи и монографии </w:t>
      </w:r>
      <w:r>
        <w:rPr>
          <w:sz w:val="24"/>
          <w:szCs w:val="24"/>
          <w:rtl w:val="0"/>
          <w:lang w:val="ru-RU"/>
        </w:rPr>
        <w:t>по этой проблематике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исследованные на момент написания в </w:t>
      </w:r>
      <w:r>
        <w:rPr>
          <w:sz w:val="24"/>
          <w:szCs w:val="24"/>
          <w:rtl w:val="0"/>
          <w:lang w:val="ru-RU"/>
        </w:rPr>
        <w:t xml:space="preserve">2023 </w:t>
      </w:r>
      <w:r>
        <w:rPr>
          <w:sz w:val="24"/>
          <w:szCs w:val="24"/>
          <w:rtl w:val="0"/>
          <w:lang w:val="ru-RU"/>
        </w:rPr>
        <w:t>году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датируются </w:t>
      </w:r>
      <w:r>
        <w:rPr>
          <w:sz w:val="24"/>
          <w:szCs w:val="24"/>
          <w:rtl w:val="0"/>
          <w:lang w:val="ru-RU"/>
        </w:rPr>
        <w:t xml:space="preserve">2020-2021 </w:t>
      </w:r>
      <w:r>
        <w:rPr>
          <w:sz w:val="24"/>
          <w:szCs w:val="24"/>
          <w:rtl w:val="0"/>
          <w:lang w:val="ru-RU"/>
        </w:rPr>
        <w:t>гг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Heading 8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ab/>
        <w:t>Исследуя исторические аспекты «Мягкой силы» ФРГ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можно сделать выводы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Германия имеет уникальный опыт в использовании «мягких» инструментов в своей политике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Опыт использования Берлином несилового влияния на иностранные государства начинается с начала </w:t>
      </w:r>
      <w:r>
        <w:rPr>
          <w:sz w:val="24"/>
          <w:szCs w:val="24"/>
          <w:rtl w:val="0"/>
          <w:lang w:val="en-US"/>
        </w:rPr>
        <w:t>XX</w:t>
      </w:r>
      <w:r>
        <w:rPr>
          <w:sz w:val="24"/>
          <w:szCs w:val="24"/>
          <w:rtl w:val="0"/>
          <w:lang w:val="ru-RU"/>
        </w:rPr>
        <w:t xml:space="preserve"> века вместе с открытием в Германской империи </w:t>
      </w:r>
      <w:r>
        <w:rPr>
          <w:sz w:val="24"/>
          <w:szCs w:val="24"/>
          <w:rtl w:val="0"/>
          <w:lang w:val="ru-RU"/>
        </w:rPr>
        <w:t>Общества Кайзера Вильгельма – системы специализированных научно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>исследовательских учреждений с решающей ролью государства при участии крупных промышленников</w:t>
      </w:r>
      <w:r>
        <w:rPr>
          <w:sz w:val="24"/>
          <w:szCs w:val="24"/>
          <w:rtl w:val="0"/>
          <w:lang w:val="ru-RU"/>
        </w:rPr>
        <w:t xml:space="preserve"> и учёных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en-US"/>
        </w:rPr>
        <w:t>[1]</w:t>
      </w:r>
      <w:r>
        <w:rPr>
          <w:sz w:val="24"/>
          <w:szCs w:val="24"/>
          <w:rtl w:val="0"/>
          <w:lang w:val="ru-RU"/>
        </w:rPr>
        <w:t xml:space="preserve"> После окончания Первой Мировой войны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Веймарская республика временно перестала развивать свою публичную дипломатию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после прихода Гитлера к власти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все силы дипломатии были направлены на продвижение идей превосходства Третьего рейха вместе с концепцией </w:t>
      </w:r>
      <w:r>
        <w:rPr>
          <w:sz w:val="24"/>
          <w:szCs w:val="24"/>
          <w:rtl w:val="0"/>
          <w:lang w:val="ru-RU"/>
        </w:rPr>
        <w:t xml:space="preserve">политики принудительного подчинения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fr-FR"/>
        </w:rPr>
        <w:t>«</w:t>
      </w:r>
      <w:r>
        <w:rPr>
          <w:sz w:val="24"/>
          <w:szCs w:val="24"/>
          <w:rtl w:val="0"/>
          <w:lang w:val="de-DE"/>
        </w:rPr>
        <w:t>Gleichschaltungspolitik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</w:rPr>
        <w:t>)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Разделённая на ФРГ и ГДР послевоенная Германия исследовала вопросы публичной дипломатии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будучи по разные стороны Железного занавеса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 мнению исследователя Э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Келли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«мягкая сила ГДР была развита и распространялась на весь восточный блок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en-US"/>
        </w:rPr>
        <w:t>[2]</w:t>
      </w:r>
      <w:r>
        <w:rPr>
          <w:sz w:val="24"/>
          <w:szCs w:val="24"/>
          <w:rtl w:val="0"/>
          <w:lang w:val="ru-RU"/>
        </w:rPr>
        <w:t xml:space="preserve"> Тем не менее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именно Западная Германия создала основу «Мягкой силы» современной Германии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В </w:t>
      </w:r>
      <w:r>
        <w:rPr>
          <w:sz w:val="24"/>
          <w:szCs w:val="24"/>
          <w:rtl w:val="0"/>
          <w:lang w:val="ru-RU"/>
        </w:rPr>
        <w:t>90-</w:t>
      </w:r>
      <w:r>
        <w:rPr>
          <w:sz w:val="24"/>
          <w:szCs w:val="24"/>
          <w:rtl w:val="0"/>
          <w:lang w:val="ru-RU"/>
        </w:rPr>
        <w:t xml:space="preserve">х и </w:t>
      </w:r>
      <w:r>
        <w:rPr>
          <w:sz w:val="24"/>
          <w:szCs w:val="24"/>
          <w:rtl w:val="0"/>
          <w:lang w:val="ru-RU"/>
        </w:rPr>
        <w:t>2000-</w:t>
      </w:r>
      <w:r>
        <w:rPr>
          <w:sz w:val="24"/>
          <w:szCs w:val="24"/>
          <w:rtl w:val="0"/>
          <w:lang w:val="ru-RU"/>
        </w:rPr>
        <w:t>х новообъединённая ФРГ усилила подходы к Публичной дипломатии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Например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Берлин выплачивал деньги странам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пострадавшим от Второй Мировой войны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продвигала деятельность ОБСЕ и мирное урегулирования конфликтов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Минские соглашения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Дайтонское соглашение</w:t>
      </w:r>
      <w:r>
        <w:rPr>
          <w:sz w:val="24"/>
          <w:szCs w:val="24"/>
          <w:rtl w:val="0"/>
          <w:lang w:val="ru-RU"/>
        </w:rPr>
        <w:t>).</w:t>
      </w:r>
    </w:p>
    <w:p>
      <w:pPr>
        <w:pStyle w:val="Heading 8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ab/>
        <w:t>О</w:t>
      </w:r>
      <w:r>
        <w:rPr>
          <w:sz w:val="24"/>
          <w:szCs w:val="24"/>
          <w:rtl w:val="0"/>
          <w:lang w:val="ru-RU"/>
        </w:rPr>
        <w:t>сновы мягкой силы Германии заложены в различных документах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включая Конституцию ФРГ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стратегические документы по внешней политике и культурные программы правительства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  <w:lang w:val="ru-RU"/>
        </w:rPr>
        <w:t xml:space="preserve"> Ввиду широкого спектра деятельности немецких НПО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продвигающих «Мягкую силу»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правовая база закреплена «Законе о сотрудничестве в области развития»</w:t>
      </w:r>
      <w:r>
        <w:rPr>
          <w:sz w:val="24"/>
          <w:szCs w:val="24"/>
          <w:rtl w:val="0"/>
          <w:lang w:val="en-US"/>
        </w:rPr>
        <w:t>[3]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а также в статьях </w:t>
      </w:r>
      <w:r>
        <w:rPr>
          <w:sz w:val="24"/>
          <w:szCs w:val="24"/>
          <w:rtl w:val="0"/>
          <w:lang w:val="ru-RU"/>
        </w:rPr>
        <w:t xml:space="preserve">80-88 </w:t>
      </w:r>
      <w:r>
        <w:rPr>
          <w:sz w:val="24"/>
          <w:szCs w:val="24"/>
          <w:rtl w:val="0"/>
          <w:lang w:val="ru-RU"/>
        </w:rPr>
        <w:t>Гражданского кодекса ФРГ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а также в законах «Закон о модернизации закона о фондах» </w:t>
      </w:r>
      <w:r>
        <w:rPr>
          <w:sz w:val="24"/>
          <w:szCs w:val="24"/>
          <w:rtl w:val="0"/>
          <w:lang w:val="de-DE"/>
        </w:rPr>
        <w:t>(Gesetz zur Modernisierung des Stiftungsrechts)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«</w:t>
      </w:r>
      <w:r>
        <w:rPr>
          <w:sz w:val="24"/>
          <w:szCs w:val="24"/>
          <w:rtl w:val="0"/>
          <w:lang w:val="ru-RU"/>
        </w:rPr>
        <w:t>Закон о поддержке волонтерской деятельности</w:t>
      </w:r>
      <w:r>
        <w:rPr>
          <w:sz w:val="24"/>
          <w:szCs w:val="24"/>
          <w:rtl w:val="0"/>
          <w:lang w:val="ru-RU"/>
        </w:rPr>
        <w:t>»</w:t>
      </w:r>
      <w:r>
        <w:rPr>
          <w:sz w:val="24"/>
          <w:szCs w:val="24"/>
          <w:rtl w:val="0"/>
        </w:rPr>
        <w:t xml:space="preserve"> – </w:t>
      </w:r>
      <w:r>
        <w:rPr>
          <w:sz w:val="24"/>
          <w:szCs w:val="24"/>
          <w:rtl w:val="0"/>
          <w:lang w:val="de-DE"/>
        </w:rPr>
        <w:t>Ehrenamtsst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de-DE"/>
        </w:rPr>
        <w:t xml:space="preserve">rkungsgesetz). </w:t>
      </w:r>
      <w:r>
        <w:rPr>
          <w:sz w:val="24"/>
          <w:szCs w:val="24"/>
          <w:rtl w:val="0"/>
          <w:lang w:val="ru-RU"/>
        </w:rPr>
        <w:t>В ходе исследования правовых основ законов ФРГ и РФ об НКО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делается вывод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законодательная база во многом похожа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en-US"/>
        </w:rPr>
        <w:t>[</w:t>
      </w:r>
      <w:r>
        <w:rPr>
          <w:sz w:val="24"/>
          <w:szCs w:val="24"/>
          <w:rtl w:val="0"/>
          <w:lang w:val="ru-RU"/>
        </w:rPr>
        <w:t>4</w:t>
      </w:r>
      <w:r>
        <w:rPr>
          <w:sz w:val="24"/>
          <w:szCs w:val="24"/>
          <w:rtl w:val="0"/>
          <w:lang w:val="en-US"/>
        </w:rPr>
        <w:t>][5]</w:t>
      </w:r>
      <w:r>
        <w:rPr>
          <w:sz w:val="24"/>
          <w:szCs w:val="24"/>
          <w:rtl w:val="0"/>
          <w:lang w:val="ru-RU"/>
        </w:rPr>
        <w:t xml:space="preserve"> К</w:t>
      </w:r>
      <w:r>
        <w:rPr>
          <w:sz w:val="24"/>
          <w:szCs w:val="24"/>
          <w:rtl w:val="0"/>
          <w:lang w:val="ru-RU"/>
        </w:rPr>
        <w:t>ак в Германии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так и в России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юридическая основа мягкой силы играет важную роль в регулировании деятельности организаций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осуществляющих влияние на международной арене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Понимание и использование этих нормативных основ является ключевым аспектом формирования и реализации стратегий мягкой силы во внешней политике обеих стран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  <w:lang w:val="ru-RU"/>
        </w:rPr>
        <w:t xml:space="preserve"> Тем не менее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некоторые аспекты организации НКО в России ограничивают ширину их возможностей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отличает их деятельность от Германии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Heading 8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ab/>
        <w:t>Исследуя практические аспекты темы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следует упомянуть важнейшие организации</w:t>
      </w:r>
      <w:r>
        <w:rPr>
          <w:sz w:val="24"/>
          <w:szCs w:val="24"/>
          <w:rtl w:val="0"/>
          <w:lang w:val="ru-RU"/>
        </w:rPr>
        <w:t xml:space="preserve"> способствующи</w:t>
      </w:r>
      <w:r>
        <w:rPr>
          <w:sz w:val="24"/>
          <w:szCs w:val="24"/>
          <w:rtl w:val="0"/>
          <w:lang w:val="ru-RU"/>
        </w:rPr>
        <w:t>е</w:t>
      </w:r>
      <w:r>
        <w:rPr>
          <w:sz w:val="24"/>
          <w:szCs w:val="24"/>
          <w:rtl w:val="0"/>
          <w:lang w:val="ru-RU"/>
        </w:rPr>
        <w:t xml:space="preserve"> реализации мягкой силы Германии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Ими </w:t>
      </w:r>
      <w:r>
        <w:rPr>
          <w:sz w:val="24"/>
          <w:szCs w:val="24"/>
          <w:rtl w:val="0"/>
          <w:lang w:val="ru-RU"/>
        </w:rPr>
        <w:t>являются культурные институты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такие как Гёте</w:t>
      </w:r>
      <w:r>
        <w:rPr>
          <w:sz w:val="24"/>
          <w:szCs w:val="24"/>
          <w:rtl w:val="0"/>
        </w:rPr>
        <w:t>-</w:t>
      </w:r>
      <w:r>
        <w:rPr>
          <w:sz w:val="24"/>
          <w:szCs w:val="24"/>
          <w:rtl w:val="0"/>
          <w:lang w:val="ru-RU"/>
        </w:rPr>
        <w:t>Институт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>а также средства массовой информации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включая </w:t>
      </w:r>
      <w:r>
        <w:rPr>
          <w:sz w:val="24"/>
          <w:szCs w:val="24"/>
          <w:rtl w:val="0"/>
          <w:lang w:val="de-DE"/>
        </w:rPr>
        <w:t>Deutsche Welle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Помимо них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германии имеются фонды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занимающиеся поддержкой политических и правозащитных организаций за рубежом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например </w:t>
      </w:r>
      <w:r>
        <w:rPr>
          <w:sz w:val="24"/>
          <w:szCs w:val="24"/>
          <w:rtl w:val="0"/>
          <w:lang w:val="ru-RU"/>
        </w:rPr>
        <w:t>Фонд имени Конрада Аденауэра</w:t>
      </w:r>
      <w:r>
        <w:rPr>
          <w:sz w:val="24"/>
          <w:szCs w:val="24"/>
          <w:rtl w:val="0"/>
          <w:lang w:val="ru-RU"/>
        </w:rPr>
        <w:t xml:space="preserve"> и Фонд Фридриха Эберта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>Эти организации играют ключевую роль в продвижении немецкой культуры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языка и ценностей </w:t>
      </w:r>
      <w:r>
        <w:rPr>
          <w:sz w:val="24"/>
          <w:szCs w:val="24"/>
          <w:rtl w:val="0"/>
          <w:lang w:val="ru-RU"/>
        </w:rPr>
        <w:t>за пределами ФРГ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  <w:lang w:val="ru-RU"/>
        </w:rPr>
        <w:t xml:space="preserve"> Универсальный организацией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занимающейся вопросами устойчивого развития других стран является Немецкое Общество Взаимопомощи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de-DE"/>
        </w:rPr>
        <w:t>Deutsche Gesellschaft f</w:t>
      </w:r>
      <w:r>
        <w:rPr>
          <w:sz w:val="24"/>
          <w:szCs w:val="24"/>
          <w:rtl w:val="0"/>
        </w:rPr>
        <w:t>ü</w:t>
      </w:r>
      <w:r>
        <w:rPr>
          <w:sz w:val="24"/>
          <w:szCs w:val="24"/>
          <w:rtl w:val="0"/>
          <w:lang w:val="de-DE"/>
        </w:rPr>
        <w:t>r Internationale Zusammenarbeit (GIZ)</w:t>
      </w:r>
      <w:r>
        <w:rPr>
          <w:sz w:val="24"/>
          <w:szCs w:val="24"/>
          <w:rtl w:val="0"/>
          <w:lang w:val="ru-RU"/>
        </w:rPr>
        <w:t xml:space="preserve">). </w:t>
      </w:r>
      <w:r>
        <w:rPr>
          <w:sz w:val="24"/>
          <w:szCs w:val="24"/>
          <w:rtl w:val="0"/>
          <w:lang w:val="ru-RU"/>
        </w:rPr>
        <w:t>В сравнении с НКО России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можно привести параллели с организацией «Россотрудничество»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занимающейся схожими вопросами и содействием другим государствам по вопросам устойчивого развития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Тем не менее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ввиду того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сфера интересов РФ в основном сосредоточена на постсоветском пространстве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деятельность Россотрудничества также имеет ограниченный спектр стран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реципиентов помощи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 сравнении с ней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en-US"/>
        </w:rPr>
        <w:t xml:space="preserve">GIZ </w:t>
      </w:r>
      <w:r>
        <w:rPr>
          <w:sz w:val="24"/>
          <w:szCs w:val="24"/>
          <w:rtl w:val="0"/>
          <w:lang w:val="ru-RU"/>
        </w:rPr>
        <w:t>носит мировой характер и занимается помощью гражданам большинства государств мира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 пространство бывшего СССР является лишь одним из регионов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 который распространяется помощь и влияние ФРГ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Heading 8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ab/>
        <w:t>Таким образом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«Мягкая сила» Германии представляет собой важный инструмент публичной дипломатии и внешней политики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которая включает в себя сферы правозащиты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культурной дипломатии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содействия международному развитию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поддержки оппозиционных политических партий для обеспечения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ru-RU"/>
        </w:rPr>
        <w:t>демократических основ и непрямого влияния на внутреннюю политику в иностранных государствах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Несмотря на схожую юридическую основу и схожий в некоторых моментах исторический опыт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ru-RU"/>
        </w:rPr>
        <w:t xml:space="preserve">глаза </w:t>
      </w:r>
      <w:r>
        <w:rPr>
          <w:sz w:val="24"/>
          <w:szCs w:val="24"/>
          <w:rtl w:val="0"/>
          <w:lang w:val="ru-RU"/>
        </w:rPr>
        <w:t>бросается</w:t>
      </w:r>
      <w:r>
        <w:rPr>
          <w:sz w:val="24"/>
          <w:szCs w:val="24"/>
          <w:rtl w:val="0"/>
          <w:lang w:val="ru-RU"/>
        </w:rPr>
        <w:t xml:space="preserve"> разница в подходах к вопросам внешней политики и суверенитета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в сумме позволяет сказать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опыт Германии нельзя перенести на современную реальность России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которой большинство работавших ранее рычагов публичной дипломатии ограничены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По умолчанию"/>
        <w:bidi w:val="0"/>
        <w:spacing w:before="0" w:line="360" w:lineRule="auto"/>
        <w:ind w:left="1361" w:right="0" w:hanging="1361"/>
        <w:jc w:val="center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 w:hint="default"/>
          <w:b w:val="1"/>
          <w:bCs w:val="1"/>
          <w:rtl w:val="0"/>
        </w:rPr>
        <w:t>Источники и литература</w:t>
      </w:r>
    </w:p>
    <w:p>
      <w:pPr>
        <w:pStyle w:val="По умолчанию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rtl w:val="0"/>
        </w:rPr>
        <w:tab/>
      </w:r>
      <w:r>
        <w:rPr>
          <w:rFonts w:ascii="Times New Roman" w:hAnsi="Times New Roman"/>
          <w:rtl w:val="0"/>
          <w:lang w:val="fr-FR"/>
        </w:rPr>
        <w:t xml:space="preserve">Auer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  <w:lang w:val="en-US"/>
        </w:rPr>
        <w:t>., Srugies A. Public Diplomacy in Germany. Los Angeles: Figueroa Press,2013</w:t>
      </w:r>
    </w:p>
    <w:p>
      <w:pPr>
        <w:pStyle w:val="По умолчанию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Kelly E. Performing Diplomatic Relations: Music and East German Foreign Policy in the Middle East during the Late 1960s // Journal of the American Musicological Society. 2019. No 72 (2)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</w:rPr>
        <w:t xml:space="preserve">P. 493-540. </w:t>
      </w:r>
    </w:p>
    <w:p>
      <w:pPr>
        <w:pStyle w:val="По умолчанию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Закон Германии о сотрудничестве в области развития </w:t>
      </w:r>
      <w:r>
        <w:rPr>
          <w:rFonts w:ascii="Times New Roman" w:hAnsi="Times New Roman"/>
          <w:rtl w:val="0"/>
          <w:lang w:val="de-DE"/>
        </w:rPr>
        <w:t xml:space="preserve">// URL: https://www.gesetze-im-internet.de/bundesrecht/entwvfg_2009/gesamt.pdf. </w:t>
      </w:r>
    </w:p>
    <w:p>
      <w:pPr>
        <w:pStyle w:val="По умолчанию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Nonprofit Law in Germany // Council of Foundations URL: https://cof.org/sites/default/files/2022-09/Nonprofit- Law-in-Germany.pdf</w:t>
      </w:r>
    </w:p>
    <w:p>
      <w:pPr>
        <w:pStyle w:val="По умолчанию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Федеральный закон «О некоммерческих организациях» от </w:t>
      </w:r>
      <w:r>
        <w:rPr>
          <w:rFonts w:ascii="Times New Roman" w:hAnsi="Times New Roman"/>
          <w:rtl w:val="0"/>
        </w:rPr>
        <w:t>12.01.1996 N 7-</w:t>
      </w:r>
      <w:r>
        <w:rPr>
          <w:rFonts w:ascii="Times New Roman" w:hAnsi="Times New Roman" w:hint="default"/>
          <w:rtl w:val="0"/>
        </w:rPr>
        <w:t xml:space="preserve">ФЗ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ред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от </w:t>
      </w:r>
      <w:r>
        <w:rPr>
          <w:rFonts w:ascii="Times New Roman" w:hAnsi="Times New Roman"/>
          <w:rtl w:val="0"/>
        </w:rPr>
        <w:t xml:space="preserve">19.12.2022) // </w:t>
      </w:r>
      <w:r>
        <w:rPr>
          <w:rFonts w:ascii="Times New Roman" w:hAnsi="Times New Roman" w:hint="default"/>
          <w:rtl w:val="0"/>
          <w:lang w:val="ru-RU"/>
        </w:rPr>
        <w:t>Официальный портал правовой информации России</w:t>
      </w:r>
      <w:r>
        <w:rPr>
          <w:rFonts w:ascii="Times New Roman" w:hAnsi="Times New Roman"/>
          <w:rtl w:val="0"/>
          <w:lang w:val="pt-PT"/>
        </w:rPr>
        <w:t>. [</w:t>
      </w:r>
      <w:r>
        <w:rPr>
          <w:rFonts w:ascii="Times New Roman" w:hAnsi="Times New Roman" w:hint="default"/>
          <w:rtl w:val="0"/>
          <w:lang w:val="ru-RU"/>
        </w:rPr>
        <w:t>Электронный ресурс</w:t>
      </w:r>
      <w:r>
        <w:rPr>
          <w:rFonts w:ascii="Times New Roman" w:hAnsi="Times New Roman"/>
          <w:rtl w:val="0"/>
        </w:rPr>
        <w:t xml:space="preserve">] URL: http://pravo.gov.ru/proxy/ips/? searchres=&amp;bpas=cd00000&amp;intelsearch=%D4%C7+%EE+ %ED%E5%EA%EE%EC%EC%E5%F0%F7%E5%F1%EA%E8%F5+ %EE%F0%E3%E0%ED%E8%E7%E0%F6%E8%FF%F5&amp;sort=-1 </w:t>
      </w:r>
      <w:r>
        <w:rPr>
          <w:rFonts w:ascii="Times New Roman" w:cs="Times New Roman" w:hAnsi="Times New Roman" w:eastAsia="Times New Roman"/>
          <w:rtl w:val="0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374" w:right="566" w:bottom="189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8">
    <w:name w:val="Heading 8"/>
    <w:next w:val="Heading 8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2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