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44C6" w14:textId="44FF77EE" w:rsidR="00F14B08" w:rsidRPr="00F15BE1" w:rsidRDefault="00F15BE1" w:rsidP="00001B40">
      <w:pPr>
        <w:pStyle w:val="Gvde"/>
        <w:jc w:val="center"/>
        <w:rPr>
          <w:rFonts w:ascii="Times New Roman" w:eastAsia="Times New Roman" w:hAnsi="Times New Roman"/>
          <w:b/>
          <w:bCs/>
          <w:sz w:val="24"/>
          <w:szCs w:val="24"/>
        </w:rPr>
      </w:pPr>
      <w:r w:rsidRPr="00F15BE1">
        <w:rPr>
          <w:rFonts w:ascii="Times New Roman" w:eastAsia="Times New Roman" w:hAnsi="Times New Roman"/>
          <w:b/>
          <w:bCs/>
          <w:sz w:val="24"/>
          <w:szCs w:val="24"/>
        </w:rPr>
        <w:t xml:space="preserve">Optimizing Encapsulation of avocado peel Extract Using Complex Coacervation Technique: Maximizing the </w:t>
      </w:r>
      <w:proofErr w:type="spellStart"/>
      <w:r w:rsidRPr="00F15BE1">
        <w:rPr>
          <w:rFonts w:ascii="Times New Roman" w:eastAsia="Times New Roman" w:hAnsi="Times New Roman"/>
          <w:b/>
          <w:bCs/>
          <w:sz w:val="24"/>
          <w:szCs w:val="24"/>
        </w:rPr>
        <w:t>Bioaccessibility</w:t>
      </w:r>
      <w:proofErr w:type="spellEnd"/>
      <w:r w:rsidRPr="00F15BE1">
        <w:rPr>
          <w:rFonts w:ascii="Times New Roman" w:eastAsia="Times New Roman" w:hAnsi="Times New Roman"/>
          <w:b/>
          <w:bCs/>
          <w:sz w:val="24"/>
          <w:szCs w:val="24"/>
        </w:rPr>
        <w:t xml:space="preserve"> and Release Kinetics in Yoghurt</w:t>
      </w:r>
    </w:p>
    <w:p w14:paraId="2A93B801" w14:textId="213BCFBB" w:rsidR="00C04E93" w:rsidRPr="008D4313" w:rsidRDefault="00F15BE1" w:rsidP="00001B40">
      <w:pPr>
        <w:pStyle w:val="Gvde"/>
        <w:jc w:val="center"/>
        <w:rPr>
          <w:rFonts w:ascii="Times New Roman" w:eastAsia="Times New Roman" w:hAnsi="Times New Roman"/>
          <w:b/>
          <w:i/>
          <w:sz w:val="24"/>
          <w:szCs w:val="24"/>
          <w:lang w:val="ru-RU"/>
        </w:rPr>
      </w:pPr>
      <w:r w:rsidRPr="00001B40">
        <w:rPr>
          <w:rFonts w:ascii="Times New Roman" w:eastAsia="Times New Roman" w:hAnsi="Times New Roman"/>
          <w:b/>
          <w:i/>
          <w:sz w:val="24"/>
          <w:szCs w:val="24"/>
        </w:rPr>
        <w:t>Nyambe C</w:t>
      </w:r>
      <w:r w:rsidR="00C04E93" w:rsidRPr="00001B40">
        <w:rPr>
          <w:rFonts w:ascii="Times New Roman" w:eastAsia="Times New Roman" w:hAnsi="Times New Roman"/>
          <w:b/>
          <w:i/>
          <w:sz w:val="24"/>
          <w:szCs w:val="24"/>
        </w:rPr>
        <w:t>.</w:t>
      </w:r>
    </w:p>
    <w:p w14:paraId="1CAF3439" w14:textId="77777777" w:rsidR="00001B40" w:rsidRPr="00001B40" w:rsidRDefault="00C04E93" w:rsidP="00001B40">
      <w:pPr>
        <w:pStyle w:val="Gvde"/>
        <w:jc w:val="center"/>
        <w:rPr>
          <w:rFonts w:ascii="Times New Roman" w:eastAsia="Times New Roman" w:hAnsi="Times New Roman"/>
          <w:i/>
          <w:sz w:val="24"/>
          <w:szCs w:val="24"/>
        </w:rPr>
      </w:pPr>
      <w:r w:rsidRPr="00001B40">
        <w:rPr>
          <w:rFonts w:ascii="Times New Roman" w:eastAsia="Times New Roman" w:hAnsi="Times New Roman"/>
          <w:i/>
          <w:sz w:val="24"/>
          <w:szCs w:val="24"/>
        </w:rPr>
        <w:t>Student, 2nd year m</w:t>
      </w:r>
      <w:r w:rsidR="00F15BE1" w:rsidRPr="00001B40">
        <w:rPr>
          <w:rFonts w:ascii="Times New Roman" w:eastAsia="Times New Roman" w:hAnsi="Times New Roman"/>
          <w:i/>
          <w:sz w:val="24"/>
          <w:szCs w:val="24"/>
        </w:rPr>
        <w:t>aster</w:t>
      </w:r>
    </w:p>
    <w:p w14:paraId="1ACA6F2F" w14:textId="77777777" w:rsidR="00C04E93" w:rsidRPr="00001B40" w:rsidRDefault="00C04E93" w:rsidP="00C04E93">
      <w:pPr>
        <w:pBdr>
          <w:top w:val="nil"/>
          <w:left w:val="nil"/>
          <w:bottom w:val="nil"/>
          <w:right w:val="nil"/>
          <w:between w:val="nil"/>
        </w:pBdr>
        <w:shd w:val="clear" w:color="auto" w:fill="FFFFFF"/>
        <w:jc w:val="center"/>
        <w:rPr>
          <w:rFonts w:ascii="Times New Roman" w:hAnsi="Times New Roman" w:cs="Times New Roman"/>
          <w:color w:val="000000" w:themeColor="text1"/>
          <w:sz w:val="24"/>
        </w:rPr>
      </w:pPr>
      <w:r w:rsidRPr="00001B40">
        <w:rPr>
          <w:rFonts w:ascii="Times New Roman" w:hAnsi="Times New Roman" w:cs="Times New Roman"/>
          <w:i/>
          <w:iCs/>
          <w:color w:val="000000" w:themeColor="text1"/>
          <w:sz w:val="24"/>
        </w:rPr>
        <w:t>ITMO University</w:t>
      </w:r>
      <w:r w:rsidRPr="00001B40">
        <w:rPr>
          <w:rFonts w:ascii="Times New Roman" w:hAnsi="Times New Roman" w:cs="Times New Roman"/>
          <w:i/>
          <w:color w:val="000000" w:themeColor="text1"/>
          <w:sz w:val="24"/>
        </w:rPr>
        <w:t>, </w:t>
      </w:r>
      <w:r w:rsidRPr="00001B40">
        <w:rPr>
          <w:rFonts w:ascii="Times New Roman" w:hAnsi="Times New Roman" w:cs="Times New Roman"/>
          <w:i/>
          <w:color w:val="000000" w:themeColor="text1"/>
          <w:sz w:val="24"/>
        </w:rPr>
        <w:br/>
        <w:t>Faculty of Biotechnologies,</w:t>
      </w:r>
      <w:r w:rsidRPr="00001B40">
        <w:rPr>
          <w:rFonts w:ascii="Times New Roman" w:hAnsi="Times New Roman" w:cs="Times New Roman"/>
          <w:i/>
          <w:color w:val="000000" w:themeColor="text1"/>
          <w:sz w:val="24"/>
          <w:lang w:val="mn-MN"/>
        </w:rPr>
        <w:t xml:space="preserve"> </w:t>
      </w:r>
      <w:r w:rsidRPr="00001B40">
        <w:rPr>
          <w:rFonts w:ascii="Times New Roman" w:hAnsi="Times New Roman" w:cs="Times New Roman"/>
          <w:i/>
          <w:color w:val="000000" w:themeColor="text1"/>
          <w:sz w:val="24"/>
        </w:rPr>
        <w:t>Saint Petersburg, Russia</w:t>
      </w:r>
    </w:p>
    <w:p w14:paraId="2C61389E" w14:textId="77777777" w:rsidR="00001B40" w:rsidRPr="00001B40" w:rsidRDefault="00001B40" w:rsidP="00001B40">
      <w:pPr>
        <w:pStyle w:val="Gvde"/>
        <w:jc w:val="center"/>
        <w:rPr>
          <w:rFonts w:ascii="Times New Roman" w:hAnsi="Times New Roman" w:cs="Times New Roman"/>
          <w:i/>
          <w:sz w:val="24"/>
          <w:u w:val="single"/>
        </w:rPr>
      </w:pPr>
      <w:r w:rsidRPr="00001B40">
        <w:rPr>
          <w:rFonts w:ascii="Times New Roman" w:hAnsi="Times New Roman" w:cs="Times New Roman"/>
          <w:i/>
          <w:sz w:val="24"/>
        </w:rPr>
        <w:t xml:space="preserve">E-mail: </w:t>
      </w:r>
      <w:r w:rsidRPr="00001B40">
        <w:rPr>
          <w:rFonts w:ascii="Times New Roman" w:hAnsi="Times New Roman" w:cs="Times New Roman"/>
          <w:i/>
          <w:sz w:val="24"/>
          <w:u w:val="single"/>
        </w:rPr>
        <w:t>Clauderahl01@gmail.com</w:t>
      </w:r>
    </w:p>
    <w:p w14:paraId="3A1C54CE" w14:textId="6BEE3481" w:rsidR="00001B40" w:rsidRPr="00001B40" w:rsidRDefault="00000000" w:rsidP="00001B40">
      <w:pPr>
        <w:pStyle w:val="Gvde"/>
        <w:ind w:firstLine="397"/>
        <w:jc w:val="both"/>
        <w:rPr>
          <w:rFonts w:ascii="Times New Roman" w:eastAsia="Times New Roman" w:hAnsi="Times New Roman" w:cs="Times New Roman"/>
          <w:sz w:val="24"/>
          <w:szCs w:val="24"/>
          <w:lang w:val="en-GB"/>
        </w:rPr>
      </w:pPr>
      <w:r w:rsidRPr="00001B40">
        <w:rPr>
          <w:rFonts w:ascii="Times New Roman" w:eastAsia="Times New Roman" w:hAnsi="Times New Roman" w:cs="Times New Roman"/>
          <w:sz w:val="24"/>
          <w:szCs w:val="24"/>
          <w:lang w:val="en-GB"/>
        </w:rPr>
        <w:t xml:space="preserve">This study employed response surface methodology (RSM) to optimize the encapsulation of </w:t>
      </w:r>
      <w:r w:rsidRPr="00001B40">
        <w:rPr>
          <w:rFonts w:ascii="Times New Roman" w:eastAsia="Times New Roman" w:hAnsi="Times New Roman" w:cs="Times New Roman"/>
          <w:sz w:val="24"/>
          <w:szCs w:val="24"/>
        </w:rPr>
        <w:t>avocado peel</w:t>
      </w:r>
      <w:r w:rsidRPr="00001B40">
        <w:rPr>
          <w:rFonts w:ascii="Times New Roman" w:eastAsia="Times New Roman" w:hAnsi="Times New Roman" w:cs="Times New Roman"/>
          <w:sz w:val="24"/>
          <w:szCs w:val="24"/>
          <w:lang w:val="en-GB"/>
        </w:rPr>
        <w:t xml:space="preserve"> extract </w:t>
      </w:r>
      <w:r w:rsidRPr="00001B40">
        <w:rPr>
          <w:rFonts w:ascii="Times New Roman" w:eastAsia="Times New Roman" w:hAnsi="Times New Roman" w:cs="Times New Roman"/>
          <w:sz w:val="24"/>
          <w:szCs w:val="24"/>
        </w:rPr>
        <w:t xml:space="preserve">(APE) </w:t>
      </w:r>
      <w:r w:rsidRPr="00001B40">
        <w:rPr>
          <w:rFonts w:ascii="Times New Roman" w:eastAsia="Times New Roman" w:hAnsi="Times New Roman" w:cs="Times New Roman"/>
          <w:sz w:val="24"/>
          <w:szCs w:val="24"/>
          <w:lang w:val="en-GB"/>
        </w:rPr>
        <w:t xml:space="preserve">using the complex coacervates technique. In particular, </w:t>
      </w:r>
      <w:r w:rsidRPr="00001B40">
        <w:rPr>
          <w:rFonts w:ascii="Times New Roman" w:eastAsia="Times New Roman" w:hAnsi="Times New Roman"/>
          <w:sz w:val="24"/>
          <w:szCs w:val="24"/>
          <w:lang w:val="en-GB"/>
        </w:rPr>
        <w:t xml:space="preserve">the objective of the study was to investigate the effects of different coating material formulations, core-to-coating material ratio, and pH </w:t>
      </w:r>
      <w:r w:rsidRPr="00001B40">
        <w:rPr>
          <w:rFonts w:ascii="Times New Roman" w:eastAsia="Times New Roman" w:hAnsi="Times New Roman" w:cs="Times New Roman"/>
          <w:sz w:val="24"/>
          <w:szCs w:val="24"/>
          <w:lang w:val="en-GB"/>
        </w:rPr>
        <w:t xml:space="preserve">on the encapsulation efficiency (EE), antioxidant activity and total </w:t>
      </w:r>
      <w:r w:rsidRPr="00001B40">
        <w:rPr>
          <w:rFonts w:ascii="Times New Roman" w:eastAsia="Times New Roman" w:hAnsi="Times New Roman" w:cs="Times New Roman"/>
          <w:sz w:val="24"/>
          <w:szCs w:val="24"/>
        </w:rPr>
        <w:t>phenolic compounds</w:t>
      </w:r>
      <w:r w:rsidRPr="00001B40">
        <w:rPr>
          <w:rFonts w:ascii="Times New Roman" w:eastAsia="Times New Roman" w:hAnsi="Times New Roman" w:cs="Times New Roman"/>
          <w:sz w:val="24"/>
          <w:szCs w:val="24"/>
          <w:lang w:val="en-GB"/>
        </w:rPr>
        <w:t xml:space="preserve">. </w:t>
      </w:r>
      <w:r w:rsidRPr="00001B40">
        <w:rPr>
          <w:rFonts w:ascii="Times New Roman" w:eastAsia="Times New Roman" w:hAnsi="Times New Roman" w:cs="Times New Roman"/>
          <w:sz w:val="24"/>
          <w:szCs w:val="24"/>
        </w:rPr>
        <w:t xml:space="preserve">Four </w:t>
      </w:r>
      <w:r w:rsidRPr="00001B40">
        <w:rPr>
          <w:rFonts w:ascii="Times New Roman" w:eastAsia="Times New Roman" w:hAnsi="Times New Roman" w:cs="Times New Roman"/>
          <w:sz w:val="24"/>
          <w:szCs w:val="24"/>
          <w:lang w:val="en-GB"/>
        </w:rPr>
        <w:t xml:space="preserve">different whey protein </w:t>
      </w:r>
      <w:r w:rsidRPr="00001B40">
        <w:rPr>
          <w:rFonts w:ascii="Times New Roman" w:eastAsia="Times New Roman" w:hAnsi="Times New Roman" w:cs="Times New Roman"/>
          <w:sz w:val="24"/>
          <w:szCs w:val="24"/>
        </w:rPr>
        <w:t xml:space="preserve">concentrate/Arabic gum </w:t>
      </w:r>
      <w:r w:rsidRPr="00001B40">
        <w:rPr>
          <w:rFonts w:ascii="Times New Roman" w:eastAsia="Times New Roman" w:hAnsi="Times New Roman" w:cs="Times New Roman"/>
          <w:sz w:val="24"/>
          <w:szCs w:val="24"/>
          <w:lang w:val="en-GB"/>
        </w:rPr>
        <w:t>ratios (</w:t>
      </w:r>
      <w:r w:rsidRPr="00001B40">
        <w:rPr>
          <w:rFonts w:ascii="Times New Roman" w:eastAsia="Times New Roman" w:hAnsi="Times New Roman" w:cs="Times New Roman"/>
          <w:sz w:val="24"/>
          <w:szCs w:val="24"/>
        </w:rPr>
        <w:t>1:1</w:t>
      </w:r>
      <w:r w:rsidRPr="00001B40">
        <w:rPr>
          <w:rFonts w:ascii="Times New Roman" w:eastAsia="Times New Roman" w:hAnsi="Times New Roman" w:cs="Times New Roman"/>
          <w:sz w:val="24"/>
          <w:szCs w:val="24"/>
          <w:lang w:val="en-GB"/>
        </w:rPr>
        <w:t xml:space="preserve">, </w:t>
      </w:r>
      <w:r w:rsidRPr="00001B40">
        <w:rPr>
          <w:rFonts w:ascii="Times New Roman" w:eastAsia="Times New Roman" w:hAnsi="Times New Roman" w:cs="Times New Roman"/>
          <w:sz w:val="24"/>
          <w:szCs w:val="24"/>
        </w:rPr>
        <w:t>2:1</w:t>
      </w:r>
      <w:r w:rsidRPr="00001B40">
        <w:rPr>
          <w:rFonts w:ascii="Times New Roman" w:eastAsia="Times New Roman" w:hAnsi="Times New Roman" w:cs="Times New Roman"/>
          <w:sz w:val="24"/>
          <w:szCs w:val="24"/>
          <w:lang w:val="en-GB"/>
        </w:rPr>
        <w:t xml:space="preserve">, </w:t>
      </w:r>
      <w:r w:rsidRPr="00001B40">
        <w:rPr>
          <w:rFonts w:ascii="Times New Roman" w:eastAsia="Times New Roman" w:hAnsi="Times New Roman" w:cs="Times New Roman"/>
          <w:sz w:val="24"/>
          <w:szCs w:val="24"/>
        </w:rPr>
        <w:t>3:1</w:t>
      </w:r>
      <w:r w:rsidRPr="00001B40">
        <w:rPr>
          <w:rFonts w:ascii="Times New Roman" w:eastAsia="Times New Roman" w:hAnsi="Times New Roman" w:cs="Times New Roman"/>
          <w:sz w:val="24"/>
          <w:szCs w:val="24"/>
          <w:lang w:val="en-GB"/>
        </w:rPr>
        <w:t>,</w:t>
      </w:r>
      <w:r w:rsidRPr="00001B40">
        <w:rPr>
          <w:rFonts w:ascii="Times New Roman" w:eastAsia="Times New Roman" w:hAnsi="Times New Roman" w:cs="Times New Roman"/>
          <w:sz w:val="24"/>
          <w:szCs w:val="24"/>
        </w:rPr>
        <w:t xml:space="preserve"> and</w:t>
      </w:r>
      <w:r w:rsidRPr="00001B40">
        <w:rPr>
          <w:rFonts w:ascii="Times New Roman" w:eastAsia="Times New Roman" w:hAnsi="Times New Roman" w:cs="Times New Roman"/>
          <w:sz w:val="24"/>
          <w:szCs w:val="24"/>
          <w:lang w:val="en-GB"/>
        </w:rPr>
        <w:t xml:space="preserve"> </w:t>
      </w:r>
      <w:r w:rsidRPr="00001B40">
        <w:rPr>
          <w:rFonts w:ascii="Times New Roman" w:eastAsia="Times New Roman" w:hAnsi="Times New Roman" w:cs="Times New Roman"/>
          <w:sz w:val="24"/>
          <w:szCs w:val="24"/>
        </w:rPr>
        <w:t>4:1</w:t>
      </w:r>
      <w:r w:rsidRPr="00001B40">
        <w:rPr>
          <w:rFonts w:ascii="Times New Roman" w:eastAsia="Times New Roman" w:hAnsi="Times New Roman" w:cs="Times New Roman"/>
          <w:sz w:val="24"/>
          <w:szCs w:val="24"/>
          <w:lang w:val="en-GB"/>
        </w:rPr>
        <w:t>), different core-to-coating material ratios (</w:t>
      </w:r>
      <w:r w:rsidRPr="00001B40">
        <w:rPr>
          <w:rFonts w:ascii="Times New Roman" w:eastAsia="Times New Roman" w:hAnsi="Times New Roman" w:cs="Times New Roman"/>
          <w:sz w:val="24"/>
          <w:szCs w:val="24"/>
        </w:rPr>
        <w:t>1:1, 1:2, 1:3, and 1:4</w:t>
      </w:r>
      <w:r w:rsidRPr="00001B40">
        <w:rPr>
          <w:rFonts w:ascii="Times New Roman" w:eastAsia="Times New Roman" w:hAnsi="Times New Roman" w:cs="Times New Roman"/>
          <w:sz w:val="24"/>
          <w:szCs w:val="24"/>
          <w:lang w:val="en-GB"/>
        </w:rPr>
        <w:t xml:space="preserve">) and pH (3, 4, 5) were used. Furthermore, the study examined the effect of </w:t>
      </w:r>
      <w:r w:rsidRPr="00001B40">
        <w:rPr>
          <w:rFonts w:ascii="Times New Roman" w:eastAsia="Times New Roman" w:hAnsi="Times New Roman" w:cs="Times New Roman"/>
          <w:sz w:val="24"/>
          <w:szCs w:val="24"/>
        </w:rPr>
        <w:t>yoghurt</w:t>
      </w:r>
      <w:r w:rsidRPr="00001B40">
        <w:rPr>
          <w:rFonts w:ascii="Times New Roman" w:eastAsia="Times New Roman" w:hAnsi="Times New Roman" w:cs="Times New Roman"/>
          <w:sz w:val="24"/>
          <w:szCs w:val="24"/>
          <w:lang w:val="en-GB"/>
        </w:rPr>
        <w:t xml:space="preserve"> on the in vitro release kinetics of spray-dried </w:t>
      </w:r>
      <w:r w:rsidRPr="00001B40">
        <w:rPr>
          <w:rFonts w:ascii="Times New Roman" w:eastAsia="Times New Roman" w:hAnsi="Times New Roman" w:cs="Times New Roman"/>
          <w:sz w:val="24"/>
          <w:szCs w:val="24"/>
        </w:rPr>
        <w:t>A</w:t>
      </w:r>
      <w:r w:rsidRPr="00001B40">
        <w:rPr>
          <w:rFonts w:ascii="Times New Roman" w:eastAsia="Times New Roman" w:hAnsi="Times New Roman" w:cs="Times New Roman"/>
          <w:sz w:val="24"/>
          <w:szCs w:val="24"/>
          <w:lang w:val="en-GB"/>
        </w:rPr>
        <w:t>PE loaded complex coacervated powder (</w:t>
      </w:r>
      <w:r w:rsidRPr="00001B40">
        <w:rPr>
          <w:rFonts w:ascii="Times New Roman" w:eastAsia="Times New Roman" w:hAnsi="Times New Roman" w:cs="Times New Roman"/>
          <w:sz w:val="24"/>
          <w:szCs w:val="24"/>
        </w:rPr>
        <w:t>A</w:t>
      </w:r>
      <w:r w:rsidRPr="00001B40">
        <w:rPr>
          <w:rFonts w:ascii="Times New Roman" w:eastAsia="Times New Roman" w:hAnsi="Times New Roman" w:cs="Times New Roman"/>
          <w:sz w:val="24"/>
          <w:szCs w:val="24"/>
          <w:lang w:val="en-GB"/>
        </w:rPr>
        <w:t xml:space="preserve">PE-CCp). The </w:t>
      </w:r>
      <w:r w:rsidRPr="00001B40">
        <w:rPr>
          <w:rFonts w:ascii="Times New Roman" w:eastAsia="Times New Roman" w:hAnsi="Times New Roman" w:cs="Times New Roman"/>
          <w:sz w:val="24"/>
          <w:szCs w:val="24"/>
        </w:rPr>
        <w:t>A</w:t>
      </w:r>
      <w:r w:rsidRPr="00001B40">
        <w:rPr>
          <w:rFonts w:ascii="Times New Roman" w:eastAsia="Times New Roman" w:hAnsi="Times New Roman" w:cs="Times New Roman"/>
          <w:sz w:val="24"/>
          <w:szCs w:val="24"/>
          <w:lang w:val="en-GB"/>
        </w:rPr>
        <w:t xml:space="preserve">PE-CCp was added to </w:t>
      </w:r>
      <w:r w:rsidRPr="00001B40">
        <w:rPr>
          <w:rFonts w:ascii="Times New Roman" w:eastAsia="Times New Roman" w:hAnsi="Times New Roman" w:cs="Times New Roman"/>
          <w:sz w:val="24"/>
          <w:szCs w:val="24"/>
        </w:rPr>
        <w:t>yoghurt</w:t>
      </w:r>
      <w:r w:rsidRPr="00001B40">
        <w:rPr>
          <w:rFonts w:ascii="Times New Roman" w:eastAsia="Times New Roman" w:hAnsi="Times New Roman" w:cs="Times New Roman"/>
          <w:sz w:val="24"/>
          <w:szCs w:val="24"/>
          <w:lang w:val="en-GB"/>
        </w:rPr>
        <w:t xml:space="preserve"> (1</w:t>
      </w:r>
      <w:r w:rsidRPr="00001B40">
        <w:rPr>
          <w:rFonts w:ascii="Times New Roman" w:eastAsia="Times New Roman" w:hAnsi="Times New Roman" w:cs="Times New Roman"/>
          <w:sz w:val="24"/>
          <w:szCs w:val="24"/>
        </w:rPr>
        <w:t>, 2 and 3</w:t>
      </w:r>
      <w:r w:rsidRPr="00001B40">
        <w:rPr>
          <w:rFonts w:ascii="Times New Roman" w:eastAsia="Times New Roman" w:hAnsi="Times New Roman" w:cs="Times New Roman"/>
          <w:sz w:val="24"/>
          <w:szCs w:val="24"/>
          <w:lang w:val="en-GB"/>
        </w:rPr>
        <w:t>% w/v) to study the effect of protein and carbohydrate richness, as well as temperature on the stability of the capsules.</w:t>
      </w:r>
    </w:p>
    <w:p w14:paraId="0ABE71D0" w14:textId="77777777" w:rsidR="00F14B08" w:rsidRPr="00001B40" w:rsidRDefault="00000000" w:rsidP="00001B40">
      <w:pPr>
        <w:pStyle w:val="Gvde"/>
        <w:ind w:firstLine="397"/>
        <w:jc w:val="both"/>
        <w:rPr>
          <w:rFonts w:ascii="Times New Roman" w:eastAsia="Times New Roman" w:hAnsi="Times New Roman"/>
          <w:sz w:val="24"/>
          <w:szCs w:val="24"/>
          <w:lang w:val="en-GB"/>
        </w:rPr>
      </w:pPr>
      <w:r w:rsidRPr="00001B40">
        <w:rPr>
          <w:rFonts w:ascii="Times New Roman" w:eastAsia="Times New Roman" w:hAnsi="Times New Roman"/>
          <w:sz w:val="24"/>
          <w:szCs w:val="24"/>
        </w:rPr>
        <w:t>T</w:t>
      </w:r>
      <w:r w:rsidRPr="00001B40">
        <w:rPr>
          <w:rFonts w:ascii="Times New Roman" w:eastAsia="Times New Roman" w:hAnsi="Times New Roman"/>
          <w:sz w:val="24"/>
          <w:szCs w:val="24"/>
          <w:lang w:val="en-GB"/>
        </w:rPr>
        <w:t>he proposed topic focuses on optimizing the encapsulation of avocado peel extract using the complex coacervation technique. This research aims to address several key tasks and objectives:</w:t>
      </w:r>
    </w:p>
    <w:p w14:paraId="4720E598" w14:textId="07411D35" w:rsidR="00F14B08" w:rsidRDefault="00000000" w:rsidP="00001B40">
      <w:pPr>
        <w:pStyle w:val="Gvde"/>
        <w:ind w:firstLine="397"/>
        <w:jc w:val="both"/>
        <w:rPr>
          <w:rFonts w:ascii="Times New Roman" w:eastAsia="Times New Roman" w:hAnsi="Times New Roman"/>
          <w:b/>
          <w:bCs/>
          <w:sz w:val="24"/>
          <w:szCs w:val="24"/>
          <w:lang w:val="en-GB"/>
        </w:rPr>
      </w:pPr>
      <w:r>
        <w:rPr>
          <w:rFonts w:ascii="Times New Roman" w:eastAsia="Times New Roman" w:hAnsi="Times New Roman"/>
          <w:sz w:val="24"/>
          <w:szCs w:val="24"/>
          <w:lang w:val="en-GB"/>
        </w:rPr>
        <w:t>Optimization of Encapsulation: The primary task is to optimize the encapsulation process to effectively encapsulate the avocado peel extract. This involves determining the ideal conditions, such as pH, temperature, and polymer concentrations, to achieve maximum encapsulation efficiency</w:t>
      </w:r>
      <w:r>
        <w:rPr>
          <w:rFonts w:ascii="Times New Roman" w:eastAsia="Times New Roman" w:hAnsi="Times New Roman"/>
          <w:sz w:val="24"/>
          <w:szCs w:val="24"/>
        </w:rPr>
        <w:t xml:space="preserve"> </w:t>
      </w:r>
      <w:r w:rsidR="008D4313">
        <w:rPr>
          <w:rFonts w:ascii="Times New Roman" w:eastAsia="Times New Roman" w:hAnsi="Times New Roman"/>
          <w:sz w:val="24"/>
          <w:szCs w:val="24"/>
        </w:rPr>
        <w:t>[1]</w:t>
      </w:r>
      <w:r w:rsidRPr="008D4313">
        <w:rPr>
          <w:rFonts w:ascii="Times New Roman" w:eastAsia="Times New Roman" w:hAnsi="Times New Roman"/>
          <w:sz w:val="24"/>
          <w:szCs w:val="24"/>
          <w:lang w:val="en-GB"/>
        </w:rPr>
        <w:t>.</w:t>
      </w:r>
    </w:p>
    <w:p w14:paraId="5414D86D" w14:textId="6AF3604F" w:rsidR="00F14B08" w:rsidRDefault="00000000" w:rsidP="00001B40">
      <w:pPr>
        <w:pStyle w:val="Gvde"/>
        <w:ind w:firstLine="397"/>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Enhancing Bioaccessibility: Another task is to maximize the bioaccessibility of the encapsulated avocado peel extract. </w:t>
      </w:r>
      <w:proofErr w:type="spellStart"/>
      <w:r>
        <w:rPr>
          <w:rFonts w:ascii="Times New Roman" w:eastAsia="Times New Roman" w:hAnsi="Times New Roman"/>
          <w:sz w:val="24"/>
          <w:szCs w:val="24"/>
          <w:lang w:val="en-GB"/>
        </w:rPr>
        <w:t>Bioaccessibility</w:t>
      </w:r>
      <w:proofErr w:type="spellEnd"/>
      <w:r>
        <w:rPr>
          <w:rFonts w:ascii="Times New Roman" w:eastAsia="Times New Roman" w:hAnsi="Times New Roman"/>
          <w:sz w:val="24"/>
          <w:szCs w:val="24"/>
          <w:lang w:val="en-GB"/>
        </w:rPr>
        <w:t xml:space="preserve"> refers to the proportion of a compound that is released from the encapsulate and becomes available for absorption by the body</w:t>
      </w:r>
      <w:r>
        <w:rPr>
          <w:rFonts w:ascii="Times New Roman" w:eastAsia="Times New Roman" w:hAnsi="Times New Roman"/>
          <w:sz w:val="24"/>
          <w:szCs w:val="24"/>
        </w:rPr>
        <w:t xml:space="preserve"> </w:t>
      </w:r>
      <w:r w:rsidR="008D4313">
        <w:rPr>
          <w:rFonts w:ascii="Times New Roman" w:eastAsia="Times New Roman" w:hAnsi="Times New Roman"/>
          <w:sz w:val="24"/>
          <w:szCs w:val="24"/>
        </w:rPr>
        <w:t>[2]</w:t>
      </w:r>
      <w:r>
        <w:rPr>
          <w:rFonts w:ascii="Times New Roman" w:eastAsia="Times New Roman" w:hAnsi="Times New Roman"/>
          <w:sz w:val="24"/>
          <w:szCs w:val="24"/>
          <w:lang w:val="en-GB"/>
        </w:rPr>
        <w:t>. This research seeks to improve the bioaccessibility of bioactive compounds present in avocado peel extract.</w:t>
      </w:r>
    </w:p>
    <w:p w14:paraId="752990F8" w14:textId="66CAB1E0" w:rsidR="00210D78" w:rsidRDefault="00000000" w:rsidP="00001B40">
      <w:pPr>
        <w:pStyle w:val="Gvde"/>
        <w:ind w:firstLine="397"/>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Release Kinetics in Yoghurt: The release kinetics of the encapsulated avocado peel extract in yoghurt will be studied. This involves understanding how the encapsulated bioactive compounds are released over time when incorporated into a </w:t>
      </w:r>
      <w:r>
        <w:rPr>
          <w:rFonts w:ascii="Times New Roman" w:eastAsia="Times New Roman" w:hAnsi="Times New Roman"/>
          <w:sz w:val="24"/>
          <w:szCs w:val="24"/>
        </w:rPr>
        <w:t xml:space="preserve">dairy product </w:t>
      </w:r>
      <w:r w:rsidR="008D4313" w:rsidRPr="008D4313">
        <w:rPr>
          <w:rFonts w:ascii="Times New Roman" w:eastAsia="Times New Roman" w:hAnsi="Times New Roman"/>
          <w:sz w:val="24"/>
          <w:szCs w:val="24"/>
        </w:rPr>
        <w:t>[</w:t>
      </w:r>
      <w:r w:rsidR="008D4313">
        <w:rPr>
          <w:rFonts w:ascii="Times New Roman" w:eastAsia="Times New Roman" w:hAnsi="Times New Roman"/>
          <w:sz w:val="24"/>
          <w:szCs w:val="24"/>
        </w:rPr>
        <w:t>3</w:t>
      </w:r>
      <w:r w:rsidR="008D4313" w:rsidRPr="008D4313">
        <w:rPr>
          <w:rFonts w:ascii="Times New Roman" w:eastAsia="Times New Roman" w:hAnsi="Times New Roman"/>
          <w:sz w:val="24"/>
          <w:szCs w:val="24"/>
        </w:rPr>
        <w:t>]</w:t>
      </w:r>
      <w:r>
        <w:rPr>
          <w:rFonts w:ascii="Times New Roman" w:eastAsia="Times New Roman" w:hAnsi="Times New Roman"/>
          <w:sz w:val="24"/>
          <w:szCs w:val="24"/>
          <w:lang w:val="en-GB"/>
        </w:rPr>
        <w:t>. The goal is to ensure a controlled and sustained release of these compounds.</w:t>
      </w:r>
    </w:p>
    <w:p w14:paraId="5AD4B65B" w14:textId="3D7EEBA1" w:rsidR="00F14B08" w:rsidRPr="008D4313" w:rsidRDefault="008D4313" w:rsidP="00001B40">
      <w:pPr>
        <w:jc w:val="center"/>
        <w:rPr>
          <w:rFonts w:ascii="Times New Roman" w:hAnsi="Times New Roman" w:cs="Times New Roman"/>
          <w:b/>
          <w:sz w:val="24"/>
        </w:rPr>
      </w:pPr>
      <w:r w:rsidRPr="008D4313">
        <w:rPr>
          <w:rFonts w:ascii="Times New Roman" w:hAnsi="Times New Roman" w:cs="Times New Roman"/>
          <w:b/>
          <w:sz w:val="24"/>
        </w:rPr>
        <w:t>Reference</w:t>
      </w:r>
    </w:p>
    <w:p w14:paraId="4CE620B9" w14:textId="77777777" w:rsidR="008D4313" w:rsidRDefault="00001B40" w:rsidP="00001B40">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1. </w:t>
      </w:r>
      <w:r w:rsidR="008D4313" w:rsidRPr="00001B40">
        <w:rPr>
          <w:rFonts w:ascii="Times New Roman" w:eastAsia="SimSun" w:hAnsi="Times New Roman" w:cs="Times New Roman"/>
          <w:color w:val="222222"/>
          <w:sz w:val="24"/>
          <w:szCs w:val="24"/>
          <w:shd w:val="clear" w:color="auto" w:fill="FFFFFF"/>
        </w:rPr>
        <w:t>Mohammed, D. M., El-</w:t>
      </w:r>
      <w:proofErr w:type="spellStart"/>
      <w:r w:rsidR="008D4313" w:rsidRPr="00001B40">
        <w:rPr>
          <w:rFonts w:ascii="Times New Roman" w:eastAsia="SimSun" w:hAnsi="Times New Roman" w:cs="Times New Roman"/>
          <w:color w:val="222222"/>
          <w:sz w:val="24"/>
          <w:szCs w:val="24"/>
          <w:shd w:val="clear" w:color="auto" w:fill="FFFFFF"/>
        </w:rPr>
        <w:t>Messery</w:t>
      </w:r>
      <w:proofErr w:type="spellEnd"/>
      <w:r w:rsidR="008D4313" w:rsidRPr="00001B40">
        <w:rPr>
          <w:rFonts w:ascii="Times New Roman" w:eastAsia="SimSun" w:hAnsi="Times New Roman" w:cs="Times New Roman"/>
          <w:color w:val="222222"/>
          <w:sz w:val="24"/>
          <w:szCs w:val="24"/>
          <w:shd w:val="clear" w:color="auto" w:fill="FFFFFF"/>
        </w:rPr>
        <w:t xml:space="preserve">, T. M., </w:t>
      </w:r>
      <w:proofErr w:type="spellStart"/>
      <w:r w:rsidR="008D4313" w:rsidRPr="00001B40">
        <w:rPr>
          <w:rFonts w:ascii="Times New Roman" w:eastAsia="SimSun" w:hAnsi="Times New Roman" w:cs="Times New Roman"/>
          <w:color w:val="222222"/>
          <w:sz w:val="24"/>
          <w:szCs w:val="24"/>
          <w:shd w:val="clear" w:color="auto" w:fill="FFFFFF"/>
        </w:rPr>
        <w:t>Baranenko</w:t>
      </w:r>
      <w:proofErr w:type="spellEnd"/>
      <w:r w:rsidR="008D4313" w:rsidRPr="00001B40">
        <w:rPr>
          <w:rFonts w:ascii="Times New Roman" w:eastAsia="SimSun" w:hAnsi="Times New Roman" w:cs="Times New Roman"/>
          <w:color w:val="222222"/>
          <w:sz w:val="24"/>
          <w:szCs w:val="24"/>
          <w:shd w:val="clear" w:color="auto" w:fill="FFFFFF"/>
        </w:rPr>
        <w:t xml:space="preserve">, D. A., Hashim, M. A., </w:t>
      </w:r>
      <w:proofErr w:type="spellStart"/>
      <w:r w:rsidR="008D4313" w:rsidRPr="00001B40">
        <w:rPr>
          <w:rFonts w:ascii="Times New Roman" w:eastAsia="SimSun" w:hAnsi="Times New Roman" w:cs="Times New Roman"/>
          <w:color w:val="222222"/>
          <w:sz w:val="24"/>
          <w:szCs w:val="24"/>
          <w:shd w:val="clear" w:color="auto" w:fill="FFFFFF"/>
        </w:rPr>
        <w:t>Tyutkov</w:t>
      </w:r>
      <w:proofErr w:type="spellEnd"/>
      <w:r w:rsidR="008D4313" w:rsidRPr="00001B40">
        <w:rPr>
          <w:rFonts w:ascii="Times New Roman" w:eastAsia="SimSun" w:hAnsi="Times New Roman" w:cs="Times New Roman"/>
          <w:color w:val="222222"/>
          <w:sz w:val="24"/>
          <w:szCs w:val="24"/>
          <w:shd w:val="clear" w:color="auto" w:fill="FFFFFF"/>
        </w:rPr>
        <w:t xml:space="preserve">, N., </w:t>
      </w:r>
      <w:proofErr w:type="spellStart"/>
      <w:r w:rsidR="008D4313" w:rsidRPr="00001B40">
        <w:rPr>
          <w:rFonts w:ascii="Times New Roman" w:eastAsia="SimSun" w:hAnsi="Times New Roman" w:cs="Times New Roman"/>
          <w:color w:val="222222"/>
          <w:sz w:val="24"/>
          <w:szCs w:val="24"/>
          <w:shd w:val="clear" w:color="auto" w:fill="FFFFFF"/>
        </w:rPr>
        <w:t>Marrez</w:t>
      </w:r>
      <w:proofErr w:type="spellEnd"/>
      <w:r w:rsidR="008D4313" w:rsidRPr="00001B40">
        <w:rPr>
          <w:rFonts w:ascii="Times New Roman" w:eastAsia="SimSun" w:hAnsi="Times New Roman" w:cs="Times New Roman"/>
          <w:color w:val="222222"/>
          <w:sz w:val="24"/>
          <w:szCs w:val="24"/>
          <w:shd w:val="clear" w:color="auto" w:fill="FFFFFF"/>
        </w:rPr>
        <w:t>, D. A., ... &amp; El-Said, M. M. (2024). Effect of Spirulina maxima microcapsules to mitigate testicular toxicity induced by cadmium in rats: Optimization of in vitro release behavior in the milk beverage. </w:t>
      </w:r>
      <w:r w:rsidR="008D4313" w:rsidRPr="00001B40">
        <w:rPr>
          <w:rFonts w:ascii="Times New Roman" w:eastAsia="SimSun" w:hAnsi="Times New Roman" w:cs="Times New Roman"/>
          <w:i/>
          <w:iCs/>
          <w:color w:val="222222"/>
          <w:sz w:val="24"/>
          <w:szCs w:val="24"/>
          <w:shd w:val="clear" w:color="auto" w:fill="FFFFFF"/>
        </w:rPr>
        <w:t>Journal of Functional Foods</w:t>
      </w:r>
      <w:r w:rsidR="008D4313" w:rsidRPr="00001B40">
        <w:rPr>
          <w:rFonts w:ascii="Times New Roman" w:eastAsia="SimSun" w:hAnsi="Times New Roman" w:cs="Times New Roman"/>
          <w:color w:val="222222"/>
          <w:sz w:val="24"/>
          <w:szCs w:val="24"/>
          <w:shd w:val="clear" w:color="auto" w:fill="FFFFFF"/>
        </w:rPr>
        <w:t>, </w:t>
      </w:r>
      <w:r w:rsidR="008D4313" w:rsidRPr="00001B40">
        <w:rPr>
          <w:rFonts w:ascii="Times New Roman" w:eastAsia="SimSun" w:hAnsi="Times New Roman" w:cs="Times New Roman"/>
          <w:i/>
          <w:iCs/>
          <w:color w:val="222222"/>
          <w:sz w:val="24"/>
          <w:szCs w:val="24"/>
          <w:shd w:val="clear" w:color="auto" w:fill="FFFFFF"/>
        </w:rPr>
        <w:t>112</w:t>
      </w:r>
      <w:r w:rsidR="008D4313" w:rsidRPr="00001B40">
        <w:rPr>
          <w:rFonts w:ascii="Times New Roman" w:eastAsia="SimSun" w:hAnsi="Times New Roman" w:cs="Times New Roman"/>
          <w:color w:val="222222"/>
          <w:sz w:val="24"/>
          <w:szCs w:val="24"/>
          <w:shd w:val="clear" w:color="auto" w:fill="FFFFFF"/>
        </w:rPr>
        <w:t>, 105938.‏</w:t>
      </w:r>
    </w:p>
    <w:p w14:paraId="2D64AF21" w14:textId="4E12494D" w:rsidR="00F14B08" w:rsidRPr="00001B40" w:rsidRDefault="008D4313" w:rsidP="00001B40">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2. </w:t>
      </w:r>
      <w:proofErr w:type="spellStart"/>
      <w:r w:rsidR="00000000" w:rsidRPr="00001B40">
        <w:rPr>
          <w:rFonts w:ascii="Times New Roman" w:eastAsia="SimSun" w:hAnsi="Times New Roman" w:cs="Times New Roman"/>
          <w:color w:val="222222"/>
          <w:sz w:val="24"/>
          <w:szCs w:val="24"/>
          <w:shd w:val="clear" w:color="auto" w:fill="FFFFFF"/>
        </w:rPr>
        <w:t>Peanparkdee</w:t>
      </w:r>
      <w:proofErr w:type="spellEnd"/>
      <w:r w:rsidR="00000000" w:rsidRPr="00001B40">
        <w:rPr>
          <w:rFonts w:ascii="Times New Roman" w:eastAsia="SimSun" w:hAnsi="Times New Roman" w:cs="Times New Roman"/>
          <w:color w:val="222222"/>
          <w:sz w:val="24"/>
          <w:szCs w:val="24"/>
          <w:shd w:val="clear" w:color="auto" w:fill="FFFFFF"/>
        </w:rPr>
        <w:t>, M., Borompichaichartkul, C., &amp; Iwamoto, S. (2021). Bioaccessibility and antioxidant activity of phenolic acids, flavonoids, and anthocyanins of encapsulated Thai rice bran extracts during in vitro gastrointestinal digestion. </w:t>
      </w:r>
      <w:r w:rsidR="00000000" w:rsidRPr="00001B40">
        <w:rPr>
          <w:rFonts w:ascii="Times New Roman" w:eastAsia="SimSun" w:hAnsi="Times New Roman" w:cs="Times New Roman"/>
          <w:i/>
          <w:iCs/>
          <w:color w:val="222222"/>
          <w:sz w:val="24"/>
          <w:szCs w:val="24"/>
          <w:shd w:val="clear" w:color="auto" w:fill="FFFFFF"/>
        </w:rPr>
        <w:t>Food Chemistry</w:t>
      </w:r>
      <w:r w:rsidR="00000000" w:rsidRPr="00001B40">
        <w:rPr>
          <w:rFonts w:ascii="Times New Roman" w:eastAsia="SimSun" w:hAnsi="Times New Roman" w:cs="Times New Roman"/>
          <w:color w:val="222222"/>
          <w:sz w:val="24"/>
          <w:szCs w:val="24"/>
          <w:shd w:val="clear" w:color="auto" w:fill="FFFFFF"/>
        </w:rPr>
        <w:t>, </w:t>
      </w:r>
      <w:r w:rsidR="00000000" w:rsidRPr="00001B40">
        <w:rPr>
          <w:rFonts w:ascii="Times New Roman" w:eastAsia="SimSun" w:hAnsi="Times New Roman" w:cs="Times New Roman"/>
          <w:i/>
          <w:iCs/>
          <w:color w:val="222222"/>
          <w:sz w:val="24"/>
          <w:szCs w:val="24"/>
          <w:shd w:val="clear" w:color="auto" w:fill="FFFFFF"/>
        </w:rPr>
        <w:t>361</w:t>
      </w:r>
      <w:r w:rsidR="00000000" w:rsidRPr="00001B40">
        <w:rPr>
          <w:rFonts w:ascii="Times New Roman" w:eastAsia="SimSun" w:hAnsi="Times New Roman" w:cs="Times New Roman"/>
          <w:color w:val="222222"/>
          <w:sz w:val="24"/>
          <w:szCs w:val="24"/>
          <w:shd w:val="clear" w:color="auto" w:fill="FFFFFF"/>
        </w:rPr>
        <w:t>, 130161.‏</w:t>
      </w:r>
    </w:p>
    <w:p w14:paraId="072C741B" w14:textId="2B2BEE7D" w:rsidR="00F14B08" w:rsidRDefault="008D4313" w:rsidP="00001B40">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3</w:t>
      </w:r>
      <w:r w:rsidR="00001B40">
        <w:rPr>
          <w:rFonts w:ascii="Times New Roman" w:eastAsia="SimSun" w:hAnsi="Times New Roman" w:cs="Times New Roman"/>
          <w:color w:val="222222"/>
          <w:sz w:val="24"/>
          <w:szCs w:val="24"/>
          <w:shd w:val="clear" w:color="auto" w:fill="FFFFFF"/>
        </w:rPr>
        <w:t xml:space="preserve">. </w:t>
      </w:r>
      <w:r w:rsidR="00000000" w:rsidRPr="00001B40">
        <w:rPr>
          <w:rFonts w:ascii="Times New Roman" w:eastAsia="SimSun" w:hAnsi="Times New Roman" w:cs="Times New Roman"/>
          <w:color w:val="222222"/>
          <w:sz w:val="24"/>
          <w:szCs w:val="24"/>
          <w:shd w:val="clear" w:color="auto" w:fill="FFFFFF"/>
        </w:rPr>
        <w:t>Soliman, T. N., Mohammed, D. M., El-Messery, T. M., Elaaser, M., Zaky, A. A., Eun, J. B., ... &amp; El-Said, M. M. (2022). Microencapsulation of plant phenolic extracts using complex coacervation incorporated in ultrafiltered cheese against AlCl3-induced neuroinflammation in rats. </w:t>
      </w:r>
      <w:r w:rsidR="00000000" w:rsidRPr="00001B40">
        <w:rPr>
          <w:rFonts w:ascii="Times New Roman" w:eastAsia="SimSun" w:hAnsi="Times New Roman" w:cs="Times New Roman"/>
          <w:i/>
          <w:iCs/>
          <w:color w:val="222222"/>
          <w:sz w:val="24"/>
          <w:szCs w:val="24"/>
          <w:shd w:val="clear" w:color="auto" w:fill="FFFFFF"/>
        </w:rPr>
        <w:t>Frontiers in Nutrition</w:t>
      </w:r>
      <w:r w:rsidR="00000000" w:rsidRPr="00001B40">
        <w:rPr>
          <w:rFonts w:ascii="Times New Roman" w:eastAsia="SimSun" w:hAnsi="Times New Roman" w:cs="Times New Roman"/>
          <w:color w:val="222222"/>
          <w:sz w:val="24"/>
          <w:szCs w:val="24"/>
          <w:shd w:val="clear" w:color="auto" w:fill="FFFFFF"/>
        </w:rPr>
        <w:t>, </w:t>
      </w:r>
      <w:r w:rsidR="00000000" w:rsidRPr="00001B40">
        <w:rPr>
          <w:rFonts w:ascii="Times New Roman" w:eastAsia="SimSun" w:hAnsi="Times New Roman" w:cs="Times New Roman"/>
          <w:i/>
          <w:iCs/>
          <w:color w:val="222222"/>
          <w:sz w:val="24"/>
          <w:szCs w:val="24"/>
          <w:shd w:val="clear" w:color="auto" w:fill="FFFFFF"/>
        </w:rPr>
        <w:t>9</w:t>
      </w:r>
      <w:r w:rsidR="00000000" w:rsidRPr="00001B40">
        <w:rPr>
          <w:rFonts w:ascii="Times New Roman" w:eastAsia="SimSun" w:hAnsi="Times New Roman" w:cs="Times New Roman"/>
          <w:color w:val="222222"/>
          <w:sz w:val="24"/>
          <w:szCs w:val="24"/>
          <w:shd w:val="clear" w:color="auto" w:fill="FFFFFF"/>
        </w:rPr>
        <w:t>, 929977.‏</w:t>
      </w:r>
    </w:p>
    <w:sectPr w:rsidR="00F14B08" w:rsidSect="00382198">
      <w:pgSz w:w="11906" w:h="16838"/>
      <w:pgMar w:top="1134"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17CF8"/>
    <w:multiLevelType w:val="hybridMultilevel"/>
    <w:tmpl w:val="FF6E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94F6F"/>
    <w:multiLevelType w:val="hybridMultilevel"/>
    <w:tmpl w:val="9BB60E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084926">
    <w:abstractNumId w:val="0"/>
  </w:num>
  <w:num w:numId="2" w16cid:durableId="15141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6003E8"/>
    <w:rsid w:val="00001B40"/>
    <w:rsid w:val="001C723E"/>
    <w:rsid w:val="00210D78"/>
    <w:rsid w:val="00382198"/>
    <w:rsid w:val="008D4313"/>
    <w:rsid w:val="00BF64B9"/>
    <w:rsid w:val="00C04E93"/>
    <w:rsid w:val="00ED254F"/>
    <w:rsid w:val="00F14B08"/>
    <w:rsid w:val="00F15BE1"/>
    <w:rsid w:val="4C600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63D84"/>
  <w15:docId w15:val="{32FA8EC3-D6C2-4C78-8E76-F4BABC7B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eastAsia="zh-CN"/>
    </w:rPr>
  </w:style>
  <w:style w:type="paragraph" w:styleId="1">
    <w:name w:val="heading 1"/>
    <w:basedOn w:val="a"/>
    <w:next w:val="a"/>
    <w:link w:val="10"/>
    <w:qFormat/>
    <w:rsid w:val="00210D7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vde">
    <w:name w:val="Gövde"/>
    <w:qFormat/>
    <w:rPr>
      <w:rFonts w:ascii="Helvetica Neue" w:eastAsia="Arial Unicode MS" w:hAnsi="Helvetica Neue" w:cs="Arial Unicode MS"/>
      <w:color w:val="000000"/>
      <w:sz w:val="22"/>
      <w:szCs w:val="22"/>
      <w:lang w:eastAsia="tr-TR"/>
    </w:rPr>
  </w:style>
  <w:style w:type="paragraph" w:styleId="a3">
    <w:name w:val="List Paragraph"/>
    <w:basedOn w:val="a"/>
    <w:uiPriority w:val="99"/>
    <w:unhideWhenUsed/>
    <w:rsid w:val="00210D78"/>
    <w:pPr>
      <w:ind w:left="720"/>
      <w:contextualSpacing/>
    </w:pPr>
  </w:style>
  <w:style w:type="character" w:customStyle="1" w:styleId="10">
    <w:name w:val="Заголовок 1 Знак"/>
    <w:basedOn w:val="a0"/>
    <w:link w:val="1"/>
    <w:rsid w:val="00210D78"/>
    <w:rPr>
      <w:rFonts w:asciiTheme="majorHAnsi" w:eastAsiaTheme="majorEastAsia" w:hAnsiTheme="majorHAnsi" w:cstheme="majorBidi"/>
      <w:color w:val="2E74B5" w:themeColor="accent1" w:themeShade="BF"/>
      <w:sz w:val="32"/>
      <w:szCs w:val="32"/>
      <w:lang w:eastAsia="zh-CN"/>
    </w:rPr>
  </w:style>
  <w:style w:type="character" w:styleId="a4">
    <w:name w:val="Hyperlink"/>
    <w:basedOn w:val="a0"/>
    <w:rsid w:val="00F15BE1"/>
    <w:rPr>
      <w:color w:val="0563C1" w:themeColor="hyperlink"/>
      <w:u w:val="single"/>
    </w:rPr>
  </w:style>
  <w:style w:type="character" w:styleId="a5">
    <w:name w:val="Unresolved Mention"/>
    <w:basedOn w:val="a0"/>
    <w:uiPriority w:val="99"/>
    <w:semiHidden/>
    <w:unhideWhenUsed/>
    <w:rsid w:val="00F15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Tamer Elmessery</dc:creator>
  <cp:lastModifiedBy>Иван Chernoukhov</cp:lastModifiedBy>
  <cp:revision>4</cp:revision>
  <dcterms:created xsi:type="dcterms:W3CDTF">2024-03-21T13:39:00Z</dcterms:created>
  <dcterms:modified xsi:type="dcterms:W3CDTF">2024-03-21T13:41:00Z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95285AC41A1842BFAE3847AA105A8A87_11</vt:lpwstr>
  </property>
</Properties>
</file>