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A594" w14:textId="1C0DD65B" w:rsidR="008C04E5" w:rsidRDefault="008C04E5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</w:t>
      </w:r>
      <w:r w:rsidRPr="008C04E5">
        <w:rPr>
          <w:b/>
          <w:color w:val="000000"/>
        </w:rPr>
        <w:t>икромеханическое моделирование композиционного материала формообразующей оснастки летательного аппарата</w:t>
      </w:r>
    </w:p>
    <w:p w14:paraId="00000002" w14:textId="485B5A0B" w:rsidR="00130241" w:rsidRDefault="008C04E5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Писарева А.А.</w:t>
      </w:r>
    </w:p>
    <w:p w14:paraId="00000003" w14:textId="6293EC7C" w:rsidR="00130241" w:rsidRDefault="00EB1F49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8C04E5">
        <w:rPr>
          <w:i/>
          <w:color w:val="000000"/>
        </w:rPr>
        <w:t>бакалавриата</w:t>
      </w:r>
    </w:p>
    <w:p w14:paraId="00000005" w14:textId="7CB3A4EC" w:rsidR="00130241" w:rsidRPr="00391C38" w:rsidRDefault="008C04E5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Тюменский индустриальный университет</w:t>
      </w:r>
      <w:r w:rsidR="00EB1F49">
        <w:rPr>
          <w:i/>
          <w:color w:val="000000"/>
        </w:rPr>
        <w:t>, </w:t>
      </w:r>
      <w:r w:rsidR="003747BD">
        <w:rPr>
          <w:color w:val="000000"/>
        </w:rPr>
        <w:br/>
      </w:r>
      <w:r>
        <w:rPr>
          <w:i/>
          <w:color w:val="000000"/>
        </w:rPr>
        <w:t>Институт промышленных технологий и инжиниринга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Тюмень</w:t>
      </w:r>
      <w:r w:rsidR="00EB1F49">
        <w:rPr>
          <w:i/>
          <w:color w:val="000000"/>
        </w:rPr>
        <w:t>, Россия</w:t>
      </w:r>
    </w:p>
    <w:p w14:paraId="1ADA4293" w14:textId="57E78C65" w:rsidR="00CD00B1" w:rsidRPr="008C04E5" w:rsidRDefault="00EB1F49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8C04E5" w:rsidRPr="008C04E5">
          <w:rPr>
            <w:rStyle w:val="a9"/>
            <w:i/>
            <w:color w:val="auto"/>
            <w:lang w:val="en-US"/>
          </w:rPr>
          <w:t>novikova</w:t>
        </w:r>
        <w:r w:rsidR="008C04E5" w:rsidRPr="008C04E5">
          <w:rPr>
            <w:rStyle w:val="a9"/>
            <w:i/>
            <w:color w:val="auto"/>
          </w:rPr>
          <w:t>2002</w:t>
        </w:r>
        <w:r w:rsidR="008C04E5" w:rsidRPr="008C04E5">
          <w:rPr>
            <w:rStyle w:val="a9"/>
            <w:i/>
            <w:color w:val="auto"/>
            <w:lang w:val="en-US"/>
          </w:rPr>
          <w:t>anna</w:t>
        </w:r>
        <w:r w:rsidR="008C04E5" w:rsidRPr="008C04E5">
          <w:rPr>
            <w:rStyle w:val="a9"/>
            <w:i/>
            <w:color w:val="auto"/>
          </w:rPr>
          <w:t>@</w:t>
        </w:r>
        <w:r w:rsidR="008C04E5" w:rsidRPr="008C04E5">
          <w:rPr>
            <w:rStyle w:val="a9"/>
            <w:i/>
            <w:color w:val="auto"/>
            <w:lang w:val="en-US"/>
          </w:rPr>
          <w:t>mail</w:t>
        </w:r>
        <w:r w:rsidR="008C04E5" w:rsidRPr="008C04E5">
          <w:rPr>
            <w:rStyle w:val="a9"/>
            <w:i/>
            <w:color w:val="auto"/>
          </w:rPr>
          <w:t>.</w:t>
        </w:r>
        <w:proofErr w:type="spellStart"/>
        <w:r w:rsidR="008C04E5" w:rsidRPr="008C04E5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1769CB2D" w14:textId="56433C3F" w:rsidR="00E90D59" w:rsidRDefault="00083189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</w:t>
      </w:r>
      <w:r w:rsidR="00CD00B1">
        <w:rPr>
          <w:color w:val="000000"/>
        </w:rPr>
        <w:t xml:space="preserve"> </w:t>
      </w:r>
      <w:r>
        <w:rPr>
          <w:color w:val="000000"/>
        </w:rPr>
        <w:t>в области авиастроения все большее распространение получают композиционные материалы</w:t>
      </w:r>
      <w:r w:rsidR="007F4E1B">
        <w:rPr>
          <w:color w:val="000000"/>
        </w:rPr>
        <w:t>, которые применяются в качестве основных в несущих элементах воздушных судов</w:t>
      </w:r>
      <w:r>
        <w:rPr>
          <w:color w:val="000000"/>
        </w:rPr>
        <w:t>.</w:t>
      </w:r>
      <w:r w:rsidR="007F4E1B">
        <w:rPr>
          <w:color w:val="000000"/>
        </w:rPr>
        <w:t xml:space="preserve"> Однако</w:t>
      </w:r>
      <w:r w:rsidR="00233C48">
        <w:rPr>
          <w:color w:val="000000"/>
        </w:rPr>
        <w:t>,</w:t>
      </w:r>
      <w:r w:rsidR="007F4E1B">
        <w:rPr>
          <w:color w:val="000000"/>
        </w:rPr>
        <w:t xml:space="preserve"> изготовление объектов в соответствии с новой технологией предполагает наличие определенного типа оснастки</w:t>
      </w:r>
      <w:r w:rsidR="008942AB">
        <w:rPr>
          <w:color w:val="000000"/>
        </w:rPr>
        <w:t xml:space="preserve">. Зачастую она изготавливается из различных марок стали или алюминия, что приводит к </w:t>
      </w:r>
      <w:r w:rsidR="007F4E1B">
        <w:rPr>
          <w:color w:val="000000"/>
        </w:rPr>
        <w:t>низкой точности геометрических параметров изделий</w:t>
      </w:r>
      <w:r w:rsidR="00755E15">
        <w:rPr>
          <w:color w:val="000000"/>
        </w:rPr>
        <w:t xml:space="preserve"> в силу разности коэффициентов линейного теплового расширения формуемой детали и объекта, задающего конфигурацию</w:t>
      </w:r>
      <w:r w:rsidR="00E90D59">
        <w:rPr>
          <w:color w:val="000000"/>
        </w:rPr>
        <w:t>.</w:t>
      </w:r>
      <w:r w:rsidR="008942AB">
        <w:rPr>
          <w:color w:val="000000"/>
        </w:rPr>
        <w:t xml:space="preserve"> </w:t>
      </w:r>
      <w:r w:rsidR="009B1599">
        <w:rPr>
          <w:color w:val="000000"/>
        </w:rPr>
        <w:t>Вследствие чего</w:t>
      </w:r>
      <w:r w:rsidR="008942AB">
        <w:rPr>
          <w:color w:val="000000"/>
        </w:rPr>
        <w:t xml:space="preserve"> увеличиваются </w:t>
      </w:r>
      <w:r w:rsidR="00910F9D">
        <w:rPr>
          <w:color w:val="000000"/>
        </w:rPr>
        <w:t xml:space="preserve">текущие </w:t>
      </w:r>
      <w:r w:rsidR="008942AB">
        <w:rPr>
          <w:color w:val="000000"/>
        </w:rPr>
        <w:t xml:space="preserve">расходы </w:t>
      </w:r>
      <w:r w:rsidR="00910F9D">
        <w:rPr>
          <w:color w:val="000000"/>
        </w:rPr>
        <w:t>предприятия и стоимость создаваемой единицы техники</w:t>
      </w:r>
      <w:r w:rsidR="009242B1">
        <w:rPr>
          <w:color w:val="000000"/>
        </w:rPr>
        <w:t xml:space="preserve"> </w:t>
      </w:r>
      <w:r w:rsidR="009242B1" w:rsidRPr="009242B1">
        <w:rPr>
          <w:color w:val="000000"/>
        </w:rPr>
        <w:t>[</w:t>
      </w:r>
      <w:r w:rsidR="00C7225C">
        <w:rPr>
          <w:color w:val="000000"/>
        </w:rPr>
        <w:t>1</w:t>
      </w:r>
      <w:r w:rsidR="009242B1" w:rsidRPr="009242B1">
        <w:rPr>
          <w:color w:val="000000"/>
        </w:rPr>
        <w:t>]</w:t>
      </w:r>
      <w:r w:rsidR="00910F9D">
        <w:rPr>
          <w:color w:val="000000"/>
        </w:rPr>
        <w:t>.</w:t>
      </w:r>
      <w:r w:rsidR="00233C48">
        <w:rPr>
          <w:color w:val="000000"/>
        </w:rPr>
        <w:t xml:space="preserve"> </w:t>
      </w:r>
      <w:r w:rsidR="00E06666">
        <w:rPr>
          <w:color w:val="000000"/>
        </w:rPr>
        <w:t>Для</w:t>
      </w:r>
      <w:r w:rsidR="00910F9D">
        <w:rPr>
          <w:color w:val="000000"/>
        </w:rPr>
        <w:t xml:space="preserve"> нейтрализации выявленной проблемы в качестве </w:t>
      </w:r>
      <w:r w:rsidR="00755E15">
        <w:rPr>
          <w:color w:val="000000"/>
        </w:rPr>
        <w:t xml:space="preserve">основного материала оснастки </w:t>
      </w:r>
      <w:r w:rsidR="00233C48">
        <w:rPr>
          <w:color w:val="000000"/>
        </w:rPr>
        <w:t>предлагается</w:t>
      </w:r>
      <w:r w:rsidR="00755E15">
        <w:rPr>
          <w:color w:val="000000"/>
        </w:rPr>
        <w:t xml:space="preserve"> применять композиционный</w:t>
      </w:r>
      <w:r w:rsidR="00E90D59">
        <w:rPr>
          <w:color w:val="000000"/>
        </w:rPr>
        <w:t>.</w:t>
      </w:r>
      <w:r w:rsidR="00080B39">
        <w:rPr>
          <w:color w:val="000000"/>
        </w:rPr>
        <w:t xml:space="preserve"> </w:t>
      </w:r>
      <w:r w:rsidR="00E06666">
        <w:rPr>
          <w:color w:val="000000"/>
        </w:rPr>
        <w:t>С этой целью в</w:t>
      </w:r>
      <w:r w:rsidR="00E90D59">
        <w:rPr>
          <w:color w:val="000000"/>
        </w:rPr>
        <w:t xml:space="preserve"> рамках работы было произведено микром</w:t>
      </w:r>
      <w:r w:rsidR="00E06666">
        <w:rPr>
          <w:color w:val="000000"/>
        </w:rPr>
        <w:t>еханическое моделирование гетерогенной системы</w:t>
      </w:r>
      <w:r w:rsidR="00080B39">
        <w:rPr>
          <w:color w:val="000000"/>
        </w:rPr>
        <w:t xml:space="preserve"> для конфигурирующего объекта внешней обшивки фюзеляжа самолета </w:t>
      </w:r>
      <w:r w:rsidR="00080B39">
        <w:rPr>
          <w:color w:val="000000"/>
          <w:lang w:val="en-US"/>
        </w:rPr>
        <w:t>Diamond</w:t>
      </w:r>
      <w:r w:rsidR="00080B39" w:rsidRPr="00080B39">
        <w:rPr>
          <w:color w:val="000000"/>
        </w:rPr>
        <w:t xml:space="preserve"> </w:t>
      </w:r>
      <w:r w:rsidR="00080B39">
        <w:rPr>
          <w:color w:val="000000"/>
          <w:lang w:val="en-US"/>
        </w:rPr>
        <w:t>DA</w:t>
      </w:r>
      <w:r w:rsidR="00080B39" w:rsidRPr="00080B39">
        <w:rPr>
          <w:color w:val="000000"/>
        </w:rPr>
        <w:t>40</w:t>
      </w:r>
      <w:r w:rsidR="00080B39">
        <w:rPr>
          <w:color w:val="000000"/>
        </w:rPr>
        <w:t xml:space="preserve">, производимого на базе </w:t>
      </w:r>
      <w:r w:rsidR="0088607E">
        <w:rPr>
          <w:color w:val="000000"/>
        </w:rPr>
        <w:t>«Уральск</w:t>
      </w:r>
      <w:r w:rsidR="00617F3C">
        <w:rPr>
          <w:color w:val="000000"/>
        </w:rPr>
        <w:t>ого</w:t>
      </w:r>
      <w:r w:rsidR="0088607E">
        <w:rPr>
          <w:color w:val="000000"/>
        </w:rPr>
        <w:t xml:space="preserve"> завод</w:t>
      </w:r>
      <w:r w:rsidR="00617F3C">
        <w:rPr>
          <w:color w:val="000000"/>
        </w:rPr>
        <w:t>а</w:t>
      </w:r>
      <w:r w:rsidR="0088607E">
        <w:rPr>
          <w:color w:val="000000"/>
        </w:rPr>
        <w:t xml:space="preserve"> гражданской авиации», показатели ликвидности и рентабельности которого во многом превышают среднеотраслевые, что позволяет говорить о готовности площадки к внедрению инноваций.</w:t>
      </w:r>
    </w:p>
    <w:p w14:paraId="519EBA46" w14:textId="42942688" w:rsidR="0088607E" w:rsidRPr="003747BD" w:rsidRDefault="00F94097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HAnsi"/>
          <w:color w:val="000000"/>
          <w:kern w:val="2"/>
          <w:szCs w:val="28"/>
          <w14:ligatures w14:val="standardContextual"/>
        </w:rPr>
      </w:pPr>
      <w:r w:rsidRPr="003747BD">
        <w:rPr>
          <w:color w:val="000000"/>
        </w:rPr>
        <w:t>В ходе проектирования в</w:t>
      </w:r>
      <w:r w:rsidR="0074269E" w:rsidRPr="003747BD">
        <w:rPr>
          <w:color w:val="000000"/>
        </w:rPr>
        <w:t xml:space="preserve"> качестве ориентировочных параметров физико-механических </w:t>
      </w:r>
      <w:r w:rsidRPr="003747BD">
        <w:rPr>
          <w:color w:val="000000"/>
        </w:rPr>
        <w:t xml:space="preserve">характеристик </w:t>
      </w:r>
      <w:r w:rsidR="006F4948" w:rsidRPr="003747BD">
        <w:rPr>
          <w:color w:val="000000"/>
        </w:rPr>
        <w:t>гетерогенной системы</w:t>
      </w:r>
      <w:r w:rsidR="0074269E" w:rsidRPr="003747BD">
        <w:rPr>
          <w:color w:val="000000"/>
        </w:rPr>
        <w:t xml:space="preserve"> были избраны </w:t>
      </w:r>
      <w:r w:rsidRPr="003747BD">
        <w:rPr>
          <w:color w:val="000000"/>
        </w:rPr>
        <w:t xml:space="preserve">показатели алюминия марки Д16, для коэффициента линейного теплового расширения </w:t>
      </w:r>
      <w:r w:rsidR="00BB6299" w:rsidRPr="003747BD">
        <w:rPr>
          <w:color w:val="000000"/>
        </w:rPr>
        <w:t xml:space="preserve">диапазон </w:t>
      </w:r>
      <w:r w:rsidR="00BB6299" w:rsidRPr="003747BD">
        <w:rPr>
          <w:rFonts w:eastAsiaTheme="minorHAnsi"/>
          <w:color w:val="000000"/>
          <w:kern w:val="2"/>
          <w:szCs w:val="28"/>
          <w14:ligatures w14:val="standardContextual"/>
        </w:rPr>
        <w:t>7-8×10</w:t>
      </w:r>
      <w:r w:rsidR="00BB6299" w:rsidRPr="003747BD">
        <w:rPr>
          <w:rFonts w:eastAsiaTheme="minorHAnsi"/>
          <w:color w:val="000000"/>
          <w:kern w:val="2"/>
          <w:szCs w:val="28"/>
          <w:vertAlign w:val="superscript"/>
          <w14:ligatures w14:val="standardContextual"/>
        </w:rPr>
        <w:t>-6 </w:t>
      </w:r>
      <w:r w:rsidR="00520A1C" w:rsidRPr="003747BD">
        <w:rPr>
          <w:rFonts w:eastAsia="Calibri"/>
          <w:color w:val="000000"/>
          <w:kern w:val="2"/>
          <w:szCs w:val="22"/>
          <w:vertAlign w:val="superscript"/>
          <w:lang w:eastAsia="en-US"/>
          <w14:ligatures w14:val="standardContextual"/>
        </w:rPr>
        <w:t>о</w:t>
      </w:r>
      <w:r w:rsidR="00520A1C" w:rsidRPr="003747BD">
        <w:rPr>
          <w:rFonts w:eastAsia="Calibri"/>
          <w:color w:val="000000"/>
          <w:kern w:val="2"/>
          <w:szCs w:val="22"/>
          <w:lang w:eastAsia="en-US"/>
          <w14:ligatures w14:val="standardContextual"/>
        </w:rPr>
        <w:t>С</w:t>
      </w:r>
      <w:r w:rsidR="00520A1C" w:rsidRPr="003747BD">
        <w:rPr>
          <w:rFonts w:eastAsia="Calibri"/>
          <w:color w:val="000000"/>
          <w:kern w:val="2"/>
          <w:szCs w:val="22"/>
          <w:vertAlign w:val="superscript"/>
          <w:lang w:eastAsia="en-US"/>
          <w14:ligatures w14:val="standardContextual"/>
        </w:rPr>
        <w:t>-1</w:t>
      </w:r>
      <w:r w:rsidR="00BB6299" w:rsidRPr="003747BD">
        <w:rPr>
          <w:rFonts w:eastAsiaTheme="minorHAnsi"/>
          <w:color w:val="000000"/>
          <w:kern w:val="2"/>
          <w:szCs w:val="28"/>
          <w14:ligatures w14:val="standardContextual"/>
        </w:rPr>
        <w:t>.</w:t>
      </w:r>
    </w:p>
    <w:p w14:paraId="293F1C34" w14:textId="40E14622" w:rsidR="00F8792E" w:rsidRPr="00617F3C" w:rsidRDefault="00626AA8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HAnsi"/>
          <w:kern w:val="2"/>
          <w:szCs w:val="28"/>
          <w14:ligatures w14:val="standardContextual"/>
        </w:rPr>
      </w:pPr>
      <w:r>
        <w:rPr>
          <w:rFonts w:eastAsiaTheme="minorHAnsi"/>
          <w:kern w:val="2"/>
          <w:szCs w:val="28"/>
          <w14:ligatures w14:val="standardContextual"/>
        </w:rPr>
        <w:t>Для достижения требуемых значений</w:t>
      </w:r>
      <w:r w:rsidR="006F4948">
        <w:rPr>
          <w:rFonts w:eastAsiaTheme="minorHAnsi"/>
          <w:kern w:val="2"/>
          <w:szCs w:val="28"/>
          <w14:ligatures w14:val="standardContextual"/>
        </w:rPr>
        <w:t xml:space="preserve"> была избрана категория волокнистых композиционных материалов, армированных однонаправленными </w:t>
      </w:r>
      <w:r w:rsidR="00D71B71">
        <w:rPr>
          <w:rFonts w:eastAsiaTheme="minorHAnsi"/>
          <w:kern w:val="2"/>
          <w:szCs w:val="28"/>
          <w14:ligatures w14:val="standardContextual"/>
        </w:rPr>
        <w:t>волокнами</w:t>
      </w:r>
      <w:r w:rsidR="006F4948">
        <w:rPr>
          <w:rFonts w:eastAsiaTheme="minorHAnsi"/>
          <w:kern w:val="2"/>
          <w:szCs w:val="28"/>
          <w14:ligatures w14:val="standardContextual"/>
        </w:rPr>
        <w:t xml:space="preserve">, что гарантирует снижение </w:t>
      </w:r>
      <w:r w:rsidR="00F8792E">
        <w:rPr>
          <w:rFonts w:eastAsiaTheme="minorHAnsi"/>
          <w:kern w:val="2"/>
          <w:szCs w:val="28"/>
          <w14:ligatures w14:val="standardContextual"/>
        </w:rPr>
        <w:t>числа элементов – концентраторов напряжений, а также полноценную реализацию упруго-прочностных свойств наполнителя.</w:t>
      </w:r>
      <w:r w:rsidR="00233C48">
        <w:rPr>
          <w:rFonts w:eastAsiaTheme="minorHAnsi"/>
          <w:kern w:val="2"/>
          <w:szCs w:val="28"/>
          <w14:ligatures w14:val="standardContextual"/>
        </w:rPr>
        <w:t xml:space="preserve"> </w:t>
      </w:r>
      <w:r w:rsidR="00E30018">
        <w:rPr>
          <w:rFonts w:eastAsiaTheme="minorHAnsi"/>
          <w:kern w:val="2"/>
          <w:szCs w:val="28"/>
          <w14:ligatures w14:val="standardContextual"/>
        </w:rPr>
        <w:t xml:space="preserve">В качестве матрицы </w:t>
      </w:r>
      <w:r w:rsidR="00FD0478">
        <w:rPr>
          <w:rFonts w:eastAsiaTheme="minorHAnsi"/>
          <w:kern w:val="2"/>
          <w:szCs w:val="28"/>
          <w14:ligatures w14:val="standardContextual"/>
        </w:rPr>
        <w:t>проектируемой</w:t>
      </w:r>
      <w:r w:rsidR="00E30018">
        <w:rPr>
          <w:rFonts w:eastAsiaTheme="minorHAnsi"/>
          <w:kern w:val="2"/>
          <w:szCs w:val="28"/>
          <w14:ligatures w14:val="standardContextual"/>
        </w:rPr>
        <w:t xml:space="preserve"> гетерогенной системы будет выступать </w:t>
      </w:r>
      <w:proofErr w:type="spellStart"/>
      <w:r w:rsidR="00E30018">
        <w:rPr>
          <w:rFonts w:eastAsiaTheme="minorHAnsi"/>
          <w:kern w:val="2"/>
          <w:szCs w:val="28"/>
          <w14:ligatures w14:val="standardContextual"/>
        </w:rPr>
        <w:t>бисмалеимидное</w:t>
      </w:r>
      <w:proofErr w:type="spellEnd"/>
      <w:r w:rsidR="00E30018">
        <w:rPr>
          <w:rFonts w:eastAsiaTheme="minorHAnsi"/>
          <w:kern w:val="2"/>
          <w:szCs w:val="28"/>
          <w14:ligatures w14:val="standardContextual"/>
        </w:rPr>
        <w:t xml:space="preserve"> связующее </w:t>
      </w:r>
      <w:r w:rsidR="00E30018">
        <w:rPr>
          <w:rFonts w:eastAsiaTheme="minorHAnsi"/>
          <w:kern w:val="2"/>
          <w:szCs w:val="28"/>
          <w:lang w:val="en-US"/>
          <w14:ligatures w14:val="standardContextual"/>
        </w:rPr>
        <w:t>SB</w:t>
      </w:r>
      <w:r w:rsidR="00E30018">
        <w:rPr>
          <w:rFonts w:eastAsiaTheme="minorHAnsi"/>
          <w:kern w:val="2"/>
          <w:szCs w:val="28"/>
          <w14:ligatures w14:val="standardContextual"/>
        </w:rPr>
        <w:t>-332, обладающее высокими адгезионными свойствами, в качестве армирующего компонента – стекловолокно типа ВМП</w:t>
      </w:r>
      <w:r w:rsidR="0039312E">
        <w:rPr>
          <w:rFonts w:eastAsiaTheme="minorHAnsi"/>
          <w:kern w:val="2"/>
          <w:szCs w:val="28"/>
          <w14:ligatures w14:val="standardContextual"/>
        </w:rPr>
        <w:t xml:space="preserve"> (концентрация – 26 %)</w:t>
      </w:r>
      <w:r w:rsidR="00E30018">
        <w:rPr>
          <w:rFonts w:eastAsiaTheme="minorHAnsi"/>
          <w:kern w:val="2"/>
          <w:szCs w:val="28"/>
          <w14:ligatures w14:val="standardContextual"/>
        </w:rPr>
        <w:t>.</w:t>
      </w:r>
      <w:r w:rsidR="009B1599">
        <w:rPr>
          <w:rFonts w:eastAsiaTheme="minorHAnsi"/>
          <w:kern w:val="2"/>
          <w:szCs w:val="28"/>
          <w14:ligatures w14:val="standardContextual"/>
        </w:rPr>
        <w:t xml:space="preserve"> Для обеспечения требуемых параметров жесткости и условий, необходимых для реализации процесса формования</w:t>
      </w:r>
      <w:r w:rsidR="00DA1849">
        <w:rPr>
          <w:rFonts w:eastAsiaTheme="minorHAnsi"/>
          <w:kern w:val="2"/>
          <w:szCs w:val="28"/>
          <w14:ligatures w14:val="standardContextual"/>
        </w:rPr>
        <w:t>,</w:t>
      </w:r>
      <w:r w:rsidR="009B1599">
        <w:rPr>
          <w:rFonts w:eastAsiaTheme="minorHAnsi"/>
          <w:kern w:val="2"/>
          <w:szCs w:val="28"/>
          <w14:ligatures w14:val="standardContextual"/>
        </w:rPr>
        <w:t xml:space="preserve"> был предусмотрен дополнительный несущей компонент оснастки</w:t>
      </w:r>
      <w:r w:rsidR="00DA1849">
        <w:rPr>
          <w:rFonts w:eastAsiaTheme="minorHAnsi"/>
          <w:kern w:val="2"/>
          <w:szCs w:val="28"/>
          <w14:ligatures w14:val="standardContextual"/>
        </w:rPr>
        <w:t xml:space="preserve">, изготовленный из композиционного материала, наполненного однонаправленными </w:t>
      </w:r>
      <w:r w:rsidR="003C3B9C">
        <w:rPr>
          <w:rFonts w:eastAsiaTheme="minorHAnsi"/>
          <w:kern w:val="2"/>
          <w:szCs w:val="28"/>
          <w14:ligatures w14:val="standardContextual"/>
        </w:rPr>
        <w:t xml:space="preserve">углеродными </w:t>
      </w:r>
      <w:r w:rsidR="00DA1849">
        <w:rPr>
          <w:rFonts w:eastAsiaTheme="minorHAnsi"/>
          <w:kern w:val="2"/>
          <w:szCs w:val="28"/>
          <w14:ligatures w14:val="standardContextual"/>
        </w:rPr>
        <w:t xml:space="preserve">волокнами </w:t>
      </w:r>
      <w:r w:rsidR="00DA1849">
        <w:rPr>
          <w:rFonts w:eastAsiaTheme="minorHAnsi"/>
          <w:kern w:val="2"/>
          <w:szCs w:val="28"/>
          <w:lang w:val="en-US"/>
          <w14:ligatures w14:val="standardContextual"/>
        </w:rPr>
        <w:t>SYT</w:t>
      </w:r>
      <w:r w:rsidR="00DA1849" w:rsidRPr="00DA1849">
        <w:rPr>
          <w:rFonts w:eastAsiaTheme="minorHAnsi"/>
          <w:kern w:val="2"/>
          <w:szCs w:val="28"/>
          <w14:ligatures w14:val="standardContextual"/>
        </w:rPr>
        <w:t>55-12</w:t>
      </w:r>
      <w:r w:rsidR="00DA1849">
        <w:rPr>
          <w:rFonts w:eastAsiaTheme="minorHAnsi"/>
          <w:kern w:val="2"/>
          <w:szCs w:val="28"/>
          <w:lang w:val="en-US"/>
          <w14:ligatures w14:val="standardContextual"/>
        </w:rPr>
        <w:t>K</w:t>
      </w:r>
      <w:r w:rsidR="00DA1849" w:rsidRPr="00DA1849">
        <w:rPr>
          <w:rFonts w:eastAsiaTheme="minorHAnsi"/>
          <w:kern w:val="2"/>
          <w:szCs w:val="28"/>
          <w14:ligatures w14:val="standardContextual"/>
        </w:rPr>
        <w:t xml:space="preserve"> </w:t>
      </w:r>
      <w:r w:rsidR="00DA1849">
        <w:rPr>
          <w:rFonts w:eastAsiaTheme="minorHAnsi"/>
          <w:kern w:val="2"/>
          <w:szCs w:val="28"/>
          <w14:ligatures w14:val="standardContextual"/>
        </w:rPr>
        <w:t xml:space="preserve">(концентрация – 40 %, матрица - </w:t>
      </w:r>
      <w:r w:rsidR="00DA1849">
        <w:rPr>
          <w:rFonts w:eastAsiaTheme="minorHAnsi"/>
          <w:kern w:val="2"/>
          <w:szCs w:val="28"/>
          <w:lang w:val="en-US"/>
          <w14:ligatures w14:val="standardContextual"/>
        </w:rPr>
        <w:t>SB</w:t>
      </w:r>
      <w:r w:rsidR="00DA1849">
        <w:rPr>
          <w:rFonts w:eastAsiaTheme="minorHAnsi"/>
          <w:kern w:val="2"/>
          <w:szCs w:val="28"/>
          <w14:ligatures w14:val="standardContextual"/>
        </w:rPr>
        <w:t>332).</w:t>
      </w:r>
    </w:p>
    <w:p w14:paraId="0713BEA5" w14:textId="3C3FC7B7" w:rsidR="00C7225C" w:rsidRDefault="007C5CFA" w:rsidP="009C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5CFA">
        <w:rPr>
          <w:color w:val="000000"/>
        </w:rPr>
        <w:t>Согласно полученным</w:t>
      </w:r>
      <w:r w:rsidR="003C3B9C">
        <w:rPr>
          <w:color w:val="000000"/>
        </w:rPr>
        <w:t xml:space="preserve"> в ходе теоретического расчета</w:t>
      </w:r>
      <w:r w:rsidRPr="007C5CFA">
        <w:rPr>
          <w:color w:val="000000"/>
        </w:rPr>
        <w:t xml:space="preserve"> данным выявленные показатели прочности превыша</w:t>
      </w:r>
      <w:r w:rsidR="0000769B">
        <w:rPr>
          <w:color w:val="000000"/>
        </w:rPr>
        <w:t>ю</w:t>
      </w:r>
      <w:r w:rsidRPr="007C5CFA">
        <w:rPr>
          <w:color w:val="000000"/>
        </w:rPr>
        <w:t>т заданные более, чем на 600</w:t>
      </w:r>
      <w:r w:rsidR="00520A1C">
        <w:rPr>
          <w:color w:val="000000"/>
        </w:rPr>
        <w:t> </w:t>
      </w:r>
      <w:r w:rsidRPr="007C5CFA">
        <w:rPr>
          <w:color w:val="000000"/>
        </w:rPr>
        <w:t>%, а плотность меньше аналогичного параметра у эталонной системы более, чем на 61</w:t>
      </w:r>
      <w:r w:rsidR="00520A1C">
        <w:rPr>
          <w:color w:val="000000"/>
        </w:rPr>
        <w:t> </w:t>
      </w:r>
      <w:r w:rsidRPr="007C5CFA">
        <w:rPr>
          <w:color w:val="000000"/>
        </w:rPr>
        <w:t xml:space="preserve">%, что гарантирует снижение </w:t>
      </w:r>
      <w:r w:rsidR="00757E50">
        <w:rPr>
          <w:color w:val="000000"/>
        </w:rPr>
        <w:t xml:space="preserve">массы формообразующей оснастки. </w:t>
      </w:r>
      <w:r w:rsidR="003C3B9C">
        <w:rPr>
          <w:color w:val="000000"/>
        </w:rPr>
        <w:t>Также</w:t>
      </w:r>
      <w:r w:rsidR="00520A1C">
        <w:rPr>
          <w:color w:val="000000"/>
        </w:rPr>
        <w:t xml:space="preserve"> был произведен сравнительный анализ </w:t>
      </w:r>
      <w:r w:rsidR="0075698C">
        <w:rPr>
          <w:color w:val="000000"/>
        </w:rPr>
        <w:t xml:space="preserve">традиционно используемых материалов и смоделированной </w:t>
      </w:r>
      <w:r w:rsidR="00C32D67">
        <w:rPr>
          <w:color w:val="000000"/>
        </w:rPr>
        <w:t xml:space="preserve">комбинации </w:t>
      </w:r>
      <w:r w:rsidR="003C3B9C">
        <w:rPr>
          <w:color w:val="000000"/>
        </w:rPr>
        <w:t xml:space="preserve">композиционных </w:t>
      </w:r>
      <w:r w:rsidR="00520A1C">
        <w:rPr>
          <w:color w:val="000000"/>
        </w:rPr>
        <w:t xml:space="preserve">в </w:t>
      </w:r>
      <w:r w:rsidR="00520A1C">
        <w:rPr>
          <w:color w:val="000000"/>
          <w:lang w:val="en-US"/>
        </w:rPr>
        <w:t>CAE</w:t>
      </w:r>
      <w:r w:rsidR="00520A1C">
        <w:rPr>
          <w:color w:val="000000"/>
        </w:rPr>
        <w:t xml:space="preserve">-системе </w:t>
      </w:r>
      <w:r w:rsidR="00520A1C">
        <w:rPr>
          <w:color w:val="000000"/>
          <w:lang w:val="en-US"/>
        </w:rPr>
        <w:t>SolidWorks</w:t>
      </w:r>
      <w:r w:rsidR="00520A1C">
        <w:rPr>
          <w:color w:val="000000"/>
        </w:rPr>
        <w:t>.</w:t>
      </w:r>
      <w:r w:rsidR="0075698C">
        <w:rPr>
          <w:color w:val="000000"/>
        </w:rPr>
        <w:t xml:space="preserve"> </w:t>
      </w:r>
      <w:r w:rsidR="003C3B9C">
        <w:rPr>
          <w:color w:val="000000"/>
        </w:rPr>
        <w:t>Дополнительно был определен</w:t>
      </w:r>
      <w:r w:rsidR="00757E50">
        <w:rPr>
          <w:color w:val="000000"/>
        </w:rPr>
        <w:t xml:space="preserve"> коэффициент запаса прочности</w:t>
      </w:r>
      <w:r w:rsidR="003C3B9C">
        <w:rPr>
          <w:color w:val="000000"/>
        </w:rPr>
        <w:t>. Его значение</w:t>
      </w:r>
      <w:r w:rsidR="00757E50">
        <w:rPr>
          <w:color w:val="000000"/>
        </w:rPr>
        <w:t xml:space="preserve"> составил</w:t>
      </w:r>
      <w:r w:rsidR="003C3B9C">
        <w:rPr>
          <w:color w:val="000000"/>
        </w:rPr>
        <w:t>о</w:t>
      </w:r>
      <w:r w:rsidR="00797E18">
        <w:rPr>
          <w:color w:val="000000"/>
        </w:rPr>
        <w:t xml:space="preserve"> 33, что больше 1.</w:t>
      </w:r>
    </w:p>
    <w:p w14:paraId="04FC8EAA" w14:textId="1B858328" w:rsidR="009C16D1" w:rsidRDefault="00797E18" w:rsidP="009C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Следовательно, можно говорить о </w:t>
      </w:r>
      <w:r w:rsidR="009C16D1">
        <w:rPr>
          <w:color w:val="000000"/>
        </w:rPr>
        <w:t xml:space="preserve">возможности применения совокупности гетерогенных систем в качестве основного материала формообразующей оснастки. Рентабельность данного решения </w:t>
      </w:r>
      <w:r w:rsidR="007C5297">
        <w:rPr>
          <w:color w:val="000000"/>
        </w:rPr>
        <w:t xml:space="preserve">в расчете на десятилетний период </w:t>
      </w:r>
      <w:r w:rsidR="009C16D1">
        <w:rPr>
          <w:color w:val="000000"/>
        </w:rPr>
        <w:t xml:space="preserve">колеблется в пределах </w:t>
      </w:r>
      <w:r w:rsidR="007C5297">
        <w:rPr>
          <w:color w:val="000000"/>
        </w:rPr>
        <w:t>110,27%</w:t>
      </w:r>
      <w:r w:rsidR="00C7225C">
        <w:rPr>
          <w:color w:val="000000"/>
        </w:rPr>
        <w:t>.</w:t>
      </w:r>
    </w:p>
    <w:p w14:paraId="029A8D4E" w14:textId="6262C7FB" w:rsidR="007C5297" w:rsidRPr="009242B1" w:rsidRDefault="009242B1" w:rsidP="009242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9242B1">
        <w:rPr>
          <w:b/>
          <w:bCs/>
          <w:color w:val="000000"/>
        </w:rPr>
        <w:t>Литература</w:t>
      </w:r>
    </w:p>
    <w:p w14:paraId="1FB42FC9" w14:textId="1954FDCD" w:rsidR="009242B1" w:rsidRDefault="009242B1" w:rsidP="00374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39312E">
        <w:rPr>
          <w:color w:val="000000"/>
        </w:rPr>
        <w:t>.</w:t>
      </w:r>
      <w:r>
        <w:rPr>
          <w:color w:val="000000"/>
        </w:rPr>
        <w:t xml:space="preserve"> </w:t>
      </w:r>
      <w:r w:rsidRPr="009242B1">
        <w:rPr>
          <w:color w:val="000000"/>
        </w:rPr>
        <w:t>Жидкова О.Г.</w:t>
      </w:r>
      <w:r w:rsidR="009B1599">
        <w:rPr>
          <w:color w:val="000000"/>
        </w:rPr>
        <w:t>, Каштанов П.П., Туманин А.Н.</w:t>
      </w:r>
      <w:r w:rsidRPr="009242B1">
        <w:rPr>
          <w:color w:val="000000"/>
        </w:rPr>
        <w:t xml:space="preserve"> Особенности проектирования композитной формообразующей оснастки для изготовления высокоточных </w:t>
      </w:r>
      <w:proofErr w:type="spellStart"/>
      <w:r w:rsidRPr="009242B1">
        <w:rPr>
          <w:color w:val="000000"/>
        </w:rPr>
        <w:t>размеростабильных</w:t>
      </w:r>
      <w:proofErr w:type="spellEnd"/>
      <w:r w:rsidRPr="009242B1">
        <w:rPr>
          <w:color w:val="000000"/>
        </w:rPr>
        <w:t xml:space="preserve"> зеркальных композитных антенн интегральной конструкции // Конструкции из композиционных материалов. 2019. № 1(153). С. 36–44.</w:t>
      </w:r>
    </w:p>
    <w:sectPr w:rsidR="009242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0694">
    <w:abstractNumId w:val="0"/>
  </w:num>
  <w:num w:numId="2" w16cid:durableId="125786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69B"/>
    <w:rsid w:val="000440AB"/>
    <w:rsid w:val="00063966"/>
    <w:rsid w:val="00080B39"/>
    <w:rsid w:val="00083189"/>
    <w:rsid w:val="00086081"/>
    <w:rsid w:val="00101A1C"/>
    <w:rsid w:val="00103657"/>
    <w:rsid w:val="00106375"/>
    <w:rsid w:val="00116478"/>
    <w:rsid w:val="00130241"/>
    <w:rsid w:val="001539B6"/>
    <w:rsid w:val="001E61C2"/>
    <w:rsid w:val="001F0493"/>
    <w:rsid w:val="002264EE"/>
    <w:rsid w:val="0023307C"/>
    <w:rsid w:val="00233C48"/>
    <w:rsid w:val="002A4CCD"/>
    <w:rsid w:val="002C0073"/>
    <w:rsid w:val="0031361E"/>
    <w:rsid w:val="003747BD"/>
    <w:rsid w:val="003851ED"/>
    <w:rsid w:val="00391C38"/>
    <w:rsid w:val="0039312E"/>
    <w:rsid w:val="003B76D6"/>
    <w:rsid w:val="003C3B9C"/>
    <w:rsid w:val="004A26A3"/>
    <w:rsid w:val="004F0EDF"/>
    <w:rsid w:val="00520A1C"/>
    <w:rsid w:val="00522BF1"/>
    <w:rsid w:val="00590166"/>
    <w:rsid w:val="005D022B"/>
    <w:rsid w:val="005E5BE9"/>
    <w:rsid w:val="00617F3C"/>
    <w:rsid w:val="00626AA8"/>
    <w:rsid w:val="0069427D"/>
    <w:rsid w:val="006F4948"/>
    <w:rsid w:val="006F7A19"/>
    <w:rsid w:val="007213E1"/>
    <w:rsid w:val="0074269E"/>
    <w:rsid w:val="00755E15"/>
    <w:rsid w:val="0075698C"/>
    <w:rsid w:val="00757E50"/>
    <w:rsid w:val="00767233"/>
    <w:rsid w:val="00775389"/>
    <w:rsid w:val="00797838"/>
    <w:rsid w:val="00797E18"/>
    <w:rsid w:val="007C36D8"/>
    <w:rsid w:val="007C5297"/>
    <w:rsid w:val="007C5CFA"/>
    <w:rsid w:val="007F2744"/>
    <w:rsid w:val="007F4E1B"/>
    <w:rsid w:val="0082047E"/>
    <w:rsid w:val="0088607E"/>
    <w:rsid w:val="008931BE"/>
    <w:rsid w:val="008942AB"/>
    <w:rsid w:val="008C04E5"/>
    <w:rsid w:val="008C67E3"/>
    <w:rsid w:val="00910F9D"/>
    <w:rsid w:val="00921D45"/>
    <w:rsid w:val="009242B1"/>
    <w:rsid w:val="009A66DB"/>
    <w:rsid w:val="009B1599"/>
    <w:rsid w:val="009B2F80"/>
    <w:rsid w:val="009B3300"/>
    <w:rsid w:val="009C16D1"/>
    <w:rsid w:val="009F3380"/>
    <w:rsid w:val="00A02163"/>
    <w:rsid w:val="00A314FE"/>
    <w:rsid w:val="00BB6299"/>
    <w:rsid w:val="00BF36F8"/>
    <w:rsid w:val="00BF4622"/>
    <w:rsid w:val="00BF6598"/>
    <w:rsid w:val="00C32D67"/>
    <w:rsid w:val="00C7225C"/>
    <w:rsid w:val="00CD00B1"/>
    <w:rsid w:val="00D22306"/>
    <w:rsid w:val="00D42542"/>
    <w:rsid w:val="00D71B71"/>
    <w:rsid w:val="00D8121C"/>
    <w:rsid w:val="00DA1849"/>
    <w:rsid w:val="00DB41C7"/>
    <w:rsid w:val="00DD6054"/>
    <w:rsid w:val="00E06666"/>
    <w:rsid w:val="00E22189"/>
    <w:rsid w:val="00E30018"/>
    <w:rsid w:val="00E74069"/>
    <w:rsid w:val="00E90D59"/>
    <w:rsid w:val="00EB1F49"/>
    <w:rsid w:val="00F865B3"/>
    <w:rsid w:val="00F8792E"/>
    <w:rsid w:val="00F94097"/>
    <w:rsid w:val="00FB1509"/>
    <w:rsid w:val="00FD047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a"/>
    <w:uiPriority w:val="39"/>
    <w:rsid w:val="00DD6054"/>
    <w:rPr>
      <w:rFonts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D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C32D67"/>
    <w:rPr>
      <w:rFonts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ikova2002an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1D1A82-D248-4CD6-A6C5-9C4CA8E0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2024-03-19T00:59:00Z</dcterms:created>
  <dcterms:modified xsi:type="dcterms:W3CDTF">2024-03-19T01:00:00Z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