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7A" w:rsidRDefault="00704C91" w:rsidP="00FD0BA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Реализация «умной» силы</w:t>
      </w:r>
      <w:r w:rsidR="00FD0BAB" w:rsidRPr="00FD0BAB">
        <w:rPr>
          <w:rFonts w:ascii="Times New Roman" w:hAnsi="Times New Roman" w:cs="Times New Roman"/>
          <w:b/>
          <w:sz w:val="24"/>
        </w:rPr>
        <w:t xml:space="preserve"> Европейского союза</w:t>
      </w:r>
      <w:bookmarkStart w:id="0" w:name="_GoBack"/>
      <w:bookmarkEnd w:id="0"/>
    </w:p>
    <w:p w:rsidR="00FD0BAB" w:rsidRDefault="00FD0BAB" w:rsidP="00FD0B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D0BAB">
        <w:rPr>
          <w:rFonts w:ascii="Times New Roman" w:hAnsi="Times New Roman" w:cs="Times New Roman"/>
          <w:b/>
          <w:i/>
          <w:sz w:val="24"/>
        </w:rPr>
        <w:t>Гранина Д.М.</w:t>
      </w:r>
    </w:p>
    <w:p w:rsidR="002D1502" w:rsidRPr="002D1502" w:rsidRDefault="002D1502" w:rsidP="002D1502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2D1502">
        <w:rPr>
          <w:rFonts w:ascii="Times New Roman" w:hAnsi="Times New Roman" w:cs="Times New Roman"/>
          <w:i/>
          <w:sz w:val="24"/>
        </w:rPr>
        <w:t xml:space="preserve">Научный руководитель: Павельева Э.А. </w:t>
      </w:r>
      <w:r w:rsidRPr="002D1502">
        <w:rPr>
          <w:rFonts w:ascii="Times New Roman" w:hAnsi="Times New Roman" w:cs="Times New Roman"/>
          <w:i/>
          <w:sz w:val="24"/>
        </w:rPr>
        <w:t>к.ю.н., доцент</w:t>
      </w:r>
    </w:p>
    <w:p w:rsidR="00FD0BAB" w:rsidRDefault="00FD0BAB" w:rsidP="00FD0BAB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студент</w:t>
      </w:r>
    </w:p>
    <w:p w:rsidR="00FD0BAB" w:rsidRDefault="00015D48" w:rsidP="00FD0BAB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Сибирский федеральный у</w:t>
      </w:r>
      <w:r w:rsidR="00FD0BAB">
        <w:rPr>
          <w:rFonts w:ascii="Times New Roman" w:hAnsi="Times New Roman" w:cs="Times New Roman"/>
          <w:i/>
          <w:sz w:val="24"/>
        </w:rPr>
        <w:t>ниверситет, Юридический институт, международные отношения, г. Красноярк, Российская Федерация</w:t>
      </w:r>
    </w:p>
    <w:p w:rsidR="00FD0BAB" w:rsidRPr="00FD0BAB" w:rsidRDefault="00535320" w:rsidP="00FD0BAB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hyperlink r:id="rId6" w:history="1">
        <w:r w:rsidR="00FD0BAB" w:rsidRPr="002519A1">
          <w:rPr>
            <w:rStyle w:val="a3"/>
            <w:rFonts w:ascii="Times New Roman" w:hAnsi="Times New Roman" w:cs="Times New Roman"/>
            <w:i/>
            <w:sz w:val="24"/>
            <w:lang w:val="de-DE"/>
          </w:rPr>
          <w:t>emgranina</w:t>
        </w:r>
        <w:r w:rsidR="00FD0BAB" w:rsidRPr="00FD0BAB">
          <w:rPr>
            <w:rStyle w:val="a3"/>
            <w:rFonts w:ascii="Times New Roman" w:hAnsi="Times New Roman" w:cs="Times New Roman"/>
            <w:i/>
            <w:sz w:val="24"/>
          </w:rPr>
          <w:t>8185@</w:t>
        </w:r>
        <w:r w:rsidR="00FD0BAB" w:rsidRPr="002519A1">
          <w:rPr>
            <w:rStyle w:val="a3"/>
            <w:rFonts w:ascii="Times New Roman" w:hAnsi="Times New Roman" w:cs="Times New Roman"/>
            <w:i/>
            <w:sz w:val="24"/>
            <w:lang w:val="de-DE"/>
          </w:rPr>
          <w:t>mail</w:t>
        </w:r>
        <w:r w:rsidR="00FD0BAB" w:rsidRPr="00FD0BAB">
          <w:rPr>
            <w:rStyle w:val="a3"/>
            <w:rFonts w:ascii="Times New Roman" w:hAnsi="Times New Roman" w:cs="Times New Roman"/>
            <w:i/>
            <w:sz w:val="24"/>
          </w:rPr>
          <w:t>.</w:t>
        </w:r>
        <w:r w:rsidR="00FD0BAB" w:rsidRPr="002519A1">
          <w:rPr>
            <w:rStyle w:val="a3"/>
            <w:rFonts w:ascii="Times New Roman" w:hAnsi="Times New Roman" w:cs="Times New Roman"/>
            <w:i/>
            <w:sz w:val="24"/>
            <w:lang w:val="de-DE"/>
          </w:rPr>
          <w:t>ru</w:t>
        </w:r>
      </w:hyperlink>
    </w:p>
    <w:p w:rsidR="00FD0BAB" w:rsidRPr="00CB1288" w:rsidRDefault="00FD0BAB" w:rsidP="00CB128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1288">
        <w:rPr>
          <w:rFonts w:ascii="Times New Roman" w:hAnsi="Times New Roman" w:cs="Times New Roman"/>
          <w:sz w:val="24"/>
          <w:szCs w:val="24"/>
        </w:rPr>
        <w:t>В современных международных отношениях всё большее распространение получает концепция «умной силы», предложенная Джозефом Наем. Основная идея данной концепции заключается во взвешенном сочетании элементов «мягкой» и «жёсткой» силы. «Умную» силу стремятся применять многие влиятельные акторы, одним из которых является Европейский союз</w:t>
      </w:r>
      <w:r w:rsidR="004E5088">
        <w:rPr>
          <w:rFonts w:ascii="Times New Roman" w:hAnsi="Times New Roman" w:cs="Times New Roman"/>
          <w:sz w:val="24"/>
          <w:szCs w:val="24"/>
        </w:rPr>
        <w:t xml:space="preserve"> [1</w:t>
      </w:r>
      <w:r w:rsidR="004E5088" w:rsidRPr="004E5088">
        <w:rPr>
          <w:rFonts w:ascii="Times New Roman" w:hAnsi="Times New Roman" w:cs="Times New Roman"/>
          <w:sz w:val="24"/>
          <w:szCs w:val="24"/>
        </w:rPr>
        <w:t>]</w:t>
      </w:r>
      <w:r w:rsidRPr="00CB1288">
        <w:rPr>
          <w:rFonts w:ascii="Times New Roman" w:hAnsi="Times New Roman" w:cs="Times New Roman"/>
          <w:sz w:val="24"/>
          <w:szCs w:val="24"/>
        </w:rPr>
        <w:t>.</w:t>
      </w:r>
    </w:p>
    <w:p w:rsidR="00015D48" w:rsidRPr="00CB1288" w:rsidRDefault="00FD0BAB" w:rsidP="00CB128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1288">
        <w:rPr>
          <w:rFonts w:ascii="Times New Roman" w:hAnsi="Times New Roman" w:cs="Times New Roman"/>
          <w:sz w:val="24"/>
          <w:szCs w:val="24"/>
        </w:rPr>
        <w:t>Действительно, в деятельности Евросоюза прослеживаются как «мягкие», так и «жёсткие» инструменты. Евросоюз способствует сохранению и продвижению европейских ценностей, опирающихся на принципы демократии и права</w:t>
      </w:r>
      <w:r w:rsidR="00015D48" w:rsidRPr="00CB1288">
        <w:rPr>
          <w:rFonts w:ascii="Times New Roman" w:hAnsi="Times New Roman" w:cs="Times New Roman"/>
          <w:sz w:val="24"/>
          <w:szCs w:val="24"/>
        </w:rPr>
        <w:t xml:space="preserve"> </w:t>
      </w:r>
      <w:r w:rsidRPr="00CB1288">
        <w:rPr>
          <w:rFonts w:ascii="Times New Roman" w:hAnsi="Times New Roman" w:cs="Times New Roman"/>
          <w:sz w:val="24"/>
          <w:szCs w:val="24"/>
        </w:rPr>
        <w:t>[</w:t>
      </w:r>
      <w:r w:rsidR="00704C91">
        <w:rPr>
          <w:rFonts w:ascii="Times New Roman" w:hAnsi="Times New Roman" w:cs="Times New Roman"/>
          <w:sz w:val="24"/>
          <w:szCs w:val="24"/>
        </w:rPr>
        <w:t>3</w:t>
      </w:r>
      <w:r w:rsidRPr="00CB1288">
        <w:rPr>
          <w:rFonts w:ascii="Times New Roman" w:hAnsi="Times New Roman" w:cs="Times New Roman"/>
          <w:sz w:val="24"/>
          <w:szCs w:val="24"/>
        </w:rPr>
        <w:t xml:space="preserve">]. Принимаются различные договоры, закрепляющие эти ценности и подтверждающие намерение европейских государств следовать этим ценностям. Важное место занимают образовательные программы, такие как </w:t>
      </w:r>
      <w:r w:rsidRPr="00CB1288">
        <w:rPr>
          <w:rFonts w:ascii="Times New Roman" w:hAnsi="Times New Roman" w:cs="Times New Roman"/>
          <w:sz w:val="24"/>
          <w:szCs w:val="24"/>
          <w:lang w:val="de-DE"/>
        </w:rPr>
        <w:t>ERASMUS</w:t>
      </w:r>
      <w:r w:rsidRPr="00CB1288">
        <w:rPr>
          <w:rFonts w:ascii="Times New Roman" w:hAnsi="Times New Roman" w:cs="Times New Roman"/>
          <w:sz w:val="24"/>
          <w:szCs w:val="24"/>
        </w:rPr>
        <w:t xml:space="preserve">, </w:t>
      </w:r>
      <w:r w:rsidRPr="00CB1288">
        <w:rPr>
          <w:rFonts w:ascii="Times New Roman" w:hAnsi="Times New Roman" w:cs="Times New Roman"/>
          <w:sz w:val="24"/>
          <w:szCs w:val="24"/>
          <w:lang w:val="de-DE"/>
        </w:rPr>
        <w:t>TEMPUS</w:t>
      </w:r>
      <w:r w:rsidRPr="00CB1288">
        <w:rPr>
          <w:rFonts w:ascii="Times New Roman" w:hAnsi="Times New Roman" w:cs="Times New Roman"/>
          <w:sz w:val="24"/>
          <w:szCs w:val="24"/>
        </w:rPr>
        <w:t xml:space="preserve"> и другие. За дипломатическое присутствие ЕС отвечает Европейская Служба Внешних Связей (ЕСВС)</w:t>
      </w:r>
      <w:r w:rsidR="00704C91">
        <w:rPr>
          <w:rFonts w:ascii="Times New Roman" w:hAnsi="Times New Roman" w:cs="Times New Roman"/>
          <w:sz w:val="24"/>
          <w:szCs w:val="24"/>
        </w:rPr>
        <w:t xml:space="preserve"> [4</w:t>
      </w:r>
      <w:r w:rsidR="00C92184" w:rsidRPr="00CB1288">
        <w:rPr>
          <w:rFonts w:ascii="Times New Roman" w:hAnsi="Times New Roman" w:cs="Times New Roman"/>
          <w:sz w:val="24"/>
          <w:szCs w:val="24"/>
        </w:rPr>
        <w:t>]</w:t>
      </w:r>
      <w:r w:rsidRPr="00CB1288">
        <w:rPr>
          <w:rFonts w:ascii="Times New Roman" w:hAnsi="Times New Roman" w:cs="Times New Roman"/>
          <w:sz w:val="24"/>
          <w:szCs w:val="24"/>
        </w:rPr>
        <w:t xml:space="preserve">. Европейский союз имеет постоянные представительства в не только в государствах, но и в международных организациях. ЕС является наблюдателем в таких организациях как ООН, ВТО, а также на таких неформальных форумах как </w:t>
      </w:r>
      <w:r w:rsidRPr="00CB1288">
        <w:rPr>
          <w:rFonts w:ascii="Times New Roman" w:hAnsi="Times New Roman" w:cs="Times New Roman"/>
          <w:sz w:val="24"/>
          <w:szCs w:val="24"/>
          <w:lang w:val="de-DE"/>
        </w:rPr>
        <w:t>G</w:t>
      </w:r>
      <w:r w:rsidRPr="00CB1288">
        <w:rPr>
          <w:rFonts w:ascii="Times New Roman" w:hAnsi="Times New Roman" w:cs="Times New Roman"/>
          <w:sz w:val="24"/>
          <w:szCs w:val="24"/>
        </w:rPr>
        <w:t xml:space="preserve">7 и </w:t>
      </w:r>
      <w:r w:rsidRPr="00CB1288">
        <w:rPr>
          <w:rFonts w:ascii="Times New Roman" w:hAnsi="Times New Roman" w:cs="Times New Roman"/>
          <w:sz w:val="24"/>
          <w:szCs w:val="24"/>
          <w:lang w:val="de-DE"/>
        </w:rPr>
        <w:t>G</w:t>
      </w:r>
      <w:r w:rsidRPr="00CB1288">
        <w:rPr>
          <w:rFonts w:ascii="Times New Roman" w:hAnsi="Times New Roman" w:cs="Times New Roman"/>
          <w:sz w:val="24"/>
          <w:szCs w:val="24"/>
        </w:rPr>
        <w:t>20. Функции представительств включают в себя продвижение интересов и ценностей, составление программы сотрудничества, исходя из политической</w:t>
      </w:r>
      <w:r w:rsidR="00015D48" w:rsidRPr="00CB1288">
        <w:rPr>
          <w:rFonts w:ascii="Times New Roman" w:hAnsi="Times New Roman" w:cs="Times New Roman"/>
          <w:sz w:val="24"/>
          <w:szCs w:val="24"/>
        </w:rPr>
        <w:t xml:space="preserve"> ситуации в странах пребывания, а также формирование имиджа ЕС, информирование о программах и инициативах Союза. Евросоюз активно оказывает гуманитарную поддержку странам, переживающим кризис или постконфликтную нестабильность. Гуманитарная помощь особенно важна в условиях пандемии. В марте 2021 года уже были реализованы поставки вакцины в Мозамбик, гуманитарная помощь в вопросах пандемии оказывается в Южном Судане, и это лишь несколько примеров гуманитарной деятельности Европейского союза. </w:t>
      </w:r>
    </w:p>
    <w:p w:rsidR="00015D48" w:rsidRPr="00CB1288" w:rsidRDefault="00015D48" w:rsidP="00CB128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1288">
        <w:rPr>
          <w:rFonts w:ascii="Times New Roman" w:hAnsi="Times New Roman" w:cs="Times New Roman"/>
          <w:sz w:val="24"/>
          <w:szCs w:val="24"/>
        </w:rPr>
        <w:t>Среди инструментов «жёсткой силы», важное место занимают экономические санкции. Санкции применяемы Евросоюзом подразумевают ограничение доступа к финансовой системе, заморозку европейских активов, запрет на въезд в страны-члены ЕС. Применение подобных мер зачастую осуществляется в ответ на нарушение прав человека, однако нельзя отрицать, что под предлогом защиты прав человека и других демократических идеалов Евросоюз преследует свои политические цели. Так, например, ЕС ввёл санкции в отношении российских граждан в связи с ситуацией с Алексеем Навальным [</w:t>
      </w:r>
      <w:r w:rsidR="00704C91">
        <w:rPr>
          <w:rFonts w:ascii="Times New Roman" w:hAnsi="Times New Roman" w:cs="Times New Roman"/>
          <w:sz w:val="24"/>
          <w:szCs w:val="24"/>
        </w:rPr>
        <w:t>6</w:t>
      </w:r>
      <w:r w:rsidRPr="00CB1288">
        <w:rPr>
          <w:rFonts w:ascii="Times New Roman" w:hAnsi="Times New Roman" w:cs="Times New Roman"/>
          <w:sz w:val="24"/>
          <w:szCs w:val="24"/>
        </w:rPr>
        <w:t>] и продлил санкции против России в связи с ситуацией на Украине [</w:t>
      </w:r>
      <w:r w:rsidR="00704C91">
        <w:rPr>
          <w:rFonts w:ascii="Times New Roman" w:hAnsi="Times New Roman" w:cs="Times New Roman"/>
          <w:sz w:val="24"/>
          <w:szCs w:val="24"/>
        </w:rPr>
        <w:t>7</w:t>
      </w:r>
      <w:r w:rsidRPr="00CB1288">
        <w:rPr>
          <w:rFonts w:ascii="Times New Roman" w:hAnsi="Times New Roman" w:cs="Times New Roman"/>
          <w:sz w:val="24"/>
          <w:szCs w:val="24"/>
        </w:rPr>
        <w:t xml:space="preserve">]. К «жёстким» инструментам ЕС можно отнести и Европол, созданный в 1995 году с целью борьбы с международной организованной преступностью и терроризмом. Европол координирует деятельность правоохранительных органов стран для осуществления информационного и научно-технического сотрудничества. Важным элементом «жёсткой» силы является Общая политика безопасности и обороны ЕС (CSDP EU). В рамках такой политики проводится комплекс миротворческих операций и гражданских миссий на трёх континентах. На данный момент проводится более десяти военных </w:t>
      </w:r>
      <w:r w:rsidRPr="00CB1288">
        <w:rPr>
          <w:rFonts w:ascii="Times New Roman" w:hAnsi="Times New Roman" w:cs="Times New Roman"/>
          <w:sz w:val="24"/>
          <w:szCs w:val="24"/>
        </w:rPr>
        <w:lastRenderedPageBreak/>
        <w:t xml:space="preserve">операций, среди них военные миссии в Косово (с 2008 г.), Сомали (с 2010 г.), Молдове и на Украине (с 2014), Ираке (с 2017) </w:t>
      </w:r>
      <w:r w:rsidR="00C92184" w:rsidRPr="00CB1288">
        <w:rPr>
          <w:rFonts w:ascii="Times New Roman" w:hAnsi="Times New Roman" w:cs="Times New Roman"/>
          <w:sz w:val="24"/>
          <w:szCs w:val="24"/>
        </w:rPr>
        <w:t>[</w:t>
      </w:r>
      <w:r w:rsidR="00704C91">
        <w:rPr>
          <w:rFonts w:ascii="Times New Roman" w:hAnsi="Times New Roman" w:cs="Times New Roman"/>
          <w:sz w:val="24"/>
          <w:szCs w:val="24"/>
        </w:rPr>
        <w:t>5</w:t>
      </w:r>
      <w:r w:rsidR="00C92184" w:rsidRPr="00CB1288">
        <w:rPr>
          <w:rFonts w:ascii="Times New Roman" w:hAnsi="Times New Roman" w:cs="Times New Roman"/>
          <w:sz w:val="24"/>
          <w:szCs w:val="24"/>
        </w:rPr>
        <w:t>]</w:t>
      </w:r>
      <w:r w:rsidRPr="00CB12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C91" w:rsidRDefault="00015D48" w:rsidP="00CB128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1288">
        <w:rPr>
          <w:rFonts w:ascii="Times New Roman" w:hAnsi="Times New Roman" w:cs="Times New Roman"/>
          <w:sz w:val="24"/>
          <w:szCs w:val="24"/>
        </w:rPr>
        <w:t>Европейский союз постепенно повышает своё влияние на международной арене, в то же время, сложно сказать, что ЕС активно использует «умную» силу для достижения своих целей. У Евросоюза имеется значительный набор «мягких» инструментов, который вполне успешно используется и приносит соответствующие результаты. В свою очередь «жёсткие» инструменты представляются недостаточно развитыми.</w:t>
      </w:r>
      <w:r w:rsidR="00CB1288">
        <w:rPr>
          <w:rFonts w:ascii="Times New Roman" w:hAnsi="Times New Roman" w:cs="Times New Roman"/>
          <w:sz w:val="24"/>
          <w:szCs w:val="24"/>
        </w:rPr>
        <w:t xml:space="preserve"> </w:t>
      </w:r>
      <w:r w:rsidRPr="00CB1288">
        <w:rPr>
          <w:rFonts w:ascii="Times New Roman" w:hAnsi="Times New Roman" w:cs="Times New Roman"/>
          <w:sz w:val="24"/>
          <w:szCs w:val="24"/>
        </w:rPr>
        <w:t>Это может объяснятся противодействием НАТО и США, ведь большая часть стран-участниц Европейского союза одновременно является и членами военно-политического блока НАТО, где ведущая роль принадлежит Соединённым Штатам. В этой связи нельзя отрицать, что США, заинтересованы в сохранении и наращивании своего влияния в системе безопасности Европы.</w:t>
      </w:r>
      <w:r w:rsidR="00704C91">
        <w:rPr>
          <w:rFonts w:ascii="Times New Roman" w:hAnsi="Times New Roman" w:cs="Times New Roman"/>
          <w:sz w:val="24"/>
          <w:szCs w:val="24"/>
        </w:rPr>
        <w:t xml:space="preserve"> [2</w:t>
      </w:r>
      <w:r w:rsidR="00704C91" w:rsidRPr="00704C91">
        <w:rPr>
          <w:rFonts w:ascii="Times New Roman" w:hAnsi="Times New Roman" w:cs="Times New Roman"/>
          <w:sz w:val="24"/>
          <w:szCs w:val="24"/>
        </w:rPr>
        <w:t>]</w:t>
      </w:r>
      <w:r w:rsidRPr="00CB1288">
        <w:rPr>
          <w:rFonts w:ascii="Times New Roman" w:hAnsi="Times New Roman" w:cs="Times New Roman"/>
          <w:sz w:val="24"/>
          <w:szCs w:val="24"/>
        </w:rPr>
        <w:t xml:space="preserve"> </w:t>
      </w:r>
      <w:r w:rsidR="00501D73">
        <w:rPr>
          <w:rFonts w:ascii="Times New Roman" w:hAnsi="Times New Roman" w:cs="Times New Roman"/>
          <w:sz w:val="24"/>
          <w:szCs w:val="24"/>
        </w:rPr>
        <w:t>За счёт</w:t>
      </w:r>
      <w:r w:rsidR="00704C91">
        <w:rPr>
          <w:rFonts w:ascii="Times New Roman" w:hAnsi="Times New Roman" w:cs="Times New Roman"/>
          <w:sz w:val="24"/>
          <w:szCs w:val="24"/>
        </w:rPr>
        <w:t xml:space="preserve"> необходимости постоянной координации с НАТО </w:t>
      </w:r>
      <w:r w:rsidR="00501D73">
        <w:rPr>
          <w:rFonts w:ascii="Times New Roman" w:hAnsi="Times New Roman" w:cs="Times New Roman"/>
          <w:sz w:val="24"/>
          <w:szCs w:val="24"/>
        </w:rPr>
        <w:t>наблюдается некоторая «скованность» ЕС в вопросах</w:t>
      </w:r>
      <w:r w:rsidR="00704C91">
        <w:rPr>
          <w:rFonts w:ascii="Times New Roman" w:hAnsi="Times New Roman" w:cs="Times New Roman"/>
          <w:sz w:val="24"/>
          <w:szCs w:val="24"/>
        </w:rPr>
        <w:t xml:space="preserve"> </w:t>
      </w:r>
      <w:r w:rsidR="00501D73">
        <w:rPr>
          <w:rFonts w:ascii="Times New Roman" w:hAnsi="Times New Roman" w:cs="Times New Roman"/>
          <w:sz w:val="24"/>
          <w:szCs w:val="24"/>
        </w:rPr>
        <w:t xml:space="preserve">оборонной политики. </w:t>
      </w:r>
    </w:p>
    <w:p w:rsidR="004E5088" w:rsidRPr="00CB1288" w:rsidRDefault="004E5088" w:rsidP="00CB128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«умную» силу, представляющую собой «золотую середину» между «жёсткой» и «мягкой» силами</w:t>
      </w:r>
      <w:r w:rsidR="00501D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с уверенностью назвать </w:t>
      </w:r>
      <w:r w:rsidR="00501D73">
        <w:rPr>
          <w:rFonts w:ascii="Times New Roman" w:hAnsi="Times New Roman" w:cs="Times New Roman"/>
          <w:sz w:val="24"/>
          <w:szCs w:val="24"/>
        </w:rPr>
        <w:t>наиболее эффективной, выигрышной концепцией в современном мире, когда военная мощь уже не является главным ресурсом для продвижения и защиты интересов. П</w:t>
      </w:r>
      <w:r>
        <w:rPr>
          <w:rFonts w:ascii="Times New Roman" w:hAnsi="Times New Roman" w:cs="Times New Roman"/>
          <w:sz w:val="24"/>
          <w:szCs w:val="24"/>
        </w:rPr>
        <w:t>ри условии сохранения тенденции Европейского союза к развитию «умной» силы</w:t>
      </w:r>
      <w:r w:rsidR="00704C91">
        <w:rPr>
          <w:rFonts w:ascii="Times New Roman" w:hAnsi="Times New Roman" w:cs="Times New Roman"/>
          <w:sz w:val="24"/>
          <w:szCs w:val="24"/>
        </w:rPr>
        <w:t>, ему удастся достичь</w:t>
      </w:r>
      <w:r w:rsidR="00704C91" w:rsidRPr="00704C91">
        <w:rPr>
          <w:rFonts w:ascii="Times New Roman" w:hAnsi="Times New Roman" w:cs="Times New Roman"/>
          <w:sz w:val="24"/>
          <w:szCs w:val="24"/>
        </w:rPr>
        <w:t xml:space="preserve"> </w:t>
      </w:r>
      <w:r w:rsidR="00704C91" w:rsidRPr="00CB1288">
        <w:rPr>
          <w:rFonts w:ascii="Times New Roman" w:hAnsi="Times New Roman" w:cs="Times New Roman"/>
          <w:sz w:val="24"/>
          <w:szCs w:val="24"/>
        </w:rPr>
        <w:t>большей самостоятельности и относительной независимости от НАТО.</w:t>
      </w:r>
    </w:p>
    <w:p w:rsidR="00015D48" w:rsidRPr="00CB1288" w:rsidRDefault="00015D48" w:rsidP="004E5088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B1288">
        <w:rPr>
          <w:rFonts w:ascii="Times New Roman" w:hAnsi="Times New Roman" w:cs="Times New Roman"/>
          <w:sz w:val="24"/>
          <w:szCs w:val="24"/>
        </w:rPr>
        <w:t>Список источников</w:t>
      </w:r>
    </w:p>
    <w:p w:rsidR="00C92184" w:rsidRPr="00CB1288" w:rsidRDefault="00015D48" w:rsidP="00CB128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1288">
        <w:rPr>
          <w:rFonts w:ascii="Times New Roman" w:hAnsi="Times New Roman" w:cs="Times New Roman"/>
          <w:sz w:val="24"/>
          <w:szCs w:val="24"/>
        </w:rPr>
        <w:t>1.</w:t>
      </w:r>
      <w:r w:rsidRPr="00CB1288">
        <w:rPr>
          <w:rFonts w:ascii="Times New Roman" w:hAnsi="Times New Roman" w:cs="Times New Roman"/>
          <w:sz w:val="24"/>
          <w:szCs w:val="24"/>
        </w:rPr>
        <w:tab/>
        <w:t>Столетов, О. В. Стратегия «Разумной силы» в контексте трансформации внешней политики ЕС / О. В. Столетов // Политическая наука. – 2014. - №2. – С. 222-244.</w:t>
      </w:r>
      <w:r w:rsidR="00C92184" w:rsidRPr="00CB1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184" w:rsidRPr="00CB1288" w:rsidRDefault="004E5088" w:rsidP="00CB128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5D48" w:rsidRPr="00CB1288">
        <w:rPr>
          <w:rFonts w:ascii="Times New Roman" w:hAnsi="Times New Roman" w:cs="Times New Roman"/>
          <w:sz w:val="24"/>
          <w:szCs w:val="24"/>
        </w:rPr>
        <w:t>.</w:t>
      </w:r>
      <w:r w:rsidR="00015D48" w:rsidRPr="00CB1288">
        <w:rPr>
          <w:rFonts w:ascii="Times New Roman" w:hAnsi="Times New Roman" w:cs="Times New Roman"/>
          <w:sz w:val="24"/>
          <w:szCs w:val="24"/>
        </w:rPr>
        <w:tab/>
        <w:t>Чихарев, И. А. «Умная мощь» в арсенале мировой политики / И. А. Чихарев // Международные процессы. – 2011. – Т. 9. -№1 (25). – С. 93-98.</w:t>
      </w:r>
    </w:p>
    <w:p w:rsidR="00C92184" w:rsidRPr="00CB1288" w:rsidRDefault="004E5088" w:rsidP="00CB128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2184" w:rsidRPr="00CB1288">
        <w:rPr>
          <w:rFonts w:ascii="Times New Roman" w:hAnsi="Times New Roman" w:cs="Times New Roman"/>
          <w:sz w:val="24"/>
          <w:szCs w:val="24"/>
        </w:rPr>
        <w:t>. Хартия Европейского союза об Основных правах [Электронный ресурс]: // Право Европейского Союза. – режим доступа: https://eulaw.ru/treaties/charter/</w:t>
      </w:r>
    </w:p>
    <w:p w:rsidR="00015D48" w:rsidRPr="00CB1288" w:rsidRDefault="004E5088" w:rsidP="00CB128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5D48" w:rsidRPr="00CB1288">
        <w:rPr>
          <w:rFonts w:ascii="Times New Roman" w:hAnsi="Times New Roman" w:cs="Times New Roman"/>
          <w:sz w:val="24"/>
          <w:szCs w:val="24"/>
        </w:rPr>
        <w:t>.</w:t>
      </w:r>
      <w:r w:rsidR="00015D48" w:rsidRPr="00CB1288">
        <w:rPr>
          <w:rFonts w:ascii="Times New Roman" w:hAnsi="Times New Roman" w:cs="Times New Roman"/>
          <w:sz w:val="24"/>
          <w:szCs w:val="24"/>
        </w:rPr>
        <w:tab/>
        <w:t xml:space="preserve">Официальный сайт Европейской службы внешних связей [Электронный ресурс]: What we do. Режим доступа: </w:t>
      </w:r>
      <w:hyperlink r:id="rId7" w:history="1">
        <w:r w:rsidR="00C92184" w:rsidRPr="00CB1288">
          <w:rPr>
            <w:rStyle w:val="a3"/>
            <w:rFonts w:ascii="Times New Roman" w:hAnsi="Times New Roman" w:cs="Times New Roman"/>
            <w:sz w:val="24"/>
            <w:szCs w:val="24"/>
          </w:rPr>
          <w:t>https://eeas.europa.eu/headquarters/headquarters-homepage/area/foreign-affairs_en</w:t>
        </w:r>
      </w:hyperlink>
    </w:p>
    <w:p w:rsidR="00C92184" w:rsidRPr="00CB1288" w:rsidRDefault="004E5088" w:rsidP="00CB128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92184" w:rsidRPr="00CB128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92184" w:rsidRPr="00CB1288">
        <w:rPr>
          <w:rFonts w:ascii="Times New Roman" w:hAnsi="Times New Roman" w:cs="Times New Roman"/>
          <w:sz w:val="24"/>
          <w:szCs w:val="24"/>
        </w:rPr>
        <w:t>Официальный</w:t>
      </w:r>
      <w:r w:rsidR="00C92184" w:rsidRPr="00CB12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184" w:rsidRPr="00CB1288">
        <w:rPr>
          <w:rFonts w:ascii="Times New Roman" w:hAnsi="Times New Roman" w:cs="Times New Roman"/>
          <w:sz w:val="24"/>
          <w:szCs w:val="24"/>
        </w:rPr>
        <w:t>сайт</w:t>
      </w:r>
      <w:r w:rsidR="00C92184" w:rsidRPr="00CB12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184" w:rsidRPr="00CB1288">
        <w:rPr>
          <w:rFonts w:ascii="Times New Roman" w:hAnsi="Times New Roman" w:cs="Times New Roman"/>
          <w:sz w:val="24"/>
          <w:szCs w:val="24"/>
        </w:rPr>
        <w:t>ЕС</w:t>
      </w:r>
      <w:r w:rsidR="00C92184" w:rsidRPr="00CB1288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C92184" w:rsidRPr="00CB1288">
        <w:rPr>
          <w:rFonts w:ascii="Times New Roman" w:hAnsi="Times New Roman" w:cs="Times New Roman"/>
          <w:sz w:val="24"/>
          <w:szCs w:val="24"/>
        </w:rPr>
        <w:t>Электронный</w:t>
      </w:r>
      <w:r w:rsidR="00C92184" w:rsidRPr="00CB12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184" w:rsidRPr="00CB1288">
        <w:rPr>
          <w:rFonts w:ascii="Times New Roman" w:hAnsi="Times New Roman" w:cs="Times New Roman"/>
          <w:sz w:val="24"/>
          <w:szCs w:val="24"/>
        </w:rPr>
        <w:t>ресурс</w:t>
      </w:r>
      <w:r w:rsidR="00C92184" w:rsidRPr="00CB1288">
        <w:rPr>
          <w:rFonts w:ascii="Times New Roman" w:hAnsi="Times New Roman" w:cs="Times New Roman"/>
          <w:sz w:val="24"/>
          <w:szCs w:val="24"/>
          <w:lang w:val="en-US"/>
        </w:rPr>
        <w:t xml:space="preserve">]: Military and civilian missions and operations. </w:t>
      </w:r>
      <w:r w:rsidR="00C92184" w:rsidRPr="00CB1288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8" w:history="1">
        <w:r w:rsidR="00C92184" w:rsidRPr="00CB1288">
          <w:rPr>
            <w:rStyle w:val="a3"/>
            <w:rFonts w:ascii="Times New Roman" w:hAnsi="Times New Roman" w:cs="Times New Roman"/>
            <w:sz w:val="24"/>
            <w:szCs w:val="24"/>
          </w:rPr>
          <w:t>https://eeas.europa.eu/headquarters/headquarters-homepage/430/military-and-civilian-missions-and-operations_en</w:t>
        </w:r>
      </w:hyperlink>
      <w:r w:rsidR="00C92184" w:rsidRPr="00CB1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184" w:rsidRPr="00CB1288" w:rsidRDefault="004E5088" w:rsidP="00CB128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2184" w:rsidRPr="00CB1288">
        <w:rPr>
          <w:rFonts w:ascii="Times New Roman" w:hAnsi="Times New Roman" w:cs="Times New Roman"/>
          <w:sz w:val="24"/>
          <w:szCs w:val="24"/>
        </w:rPr>
        <w:t xml:space="preserve">. Официальный сайт новостного портала РБК [Электронный ресурс]: В ЕС подтвердили планы расширить санкции из-за нарушений прав человека. Режим доступа: </w:t>
      </w:r>
      <w:hyperlink r:id="rId9" w:history="1">
        <w:r w:rsidR="00C92184" w:rsidRPr="00CB1288">
          <w:rPr>
            <w:rStyle w:val="a3"/>
            <w:rFonts w:ascii="Times New Roman" w:hAnsi="Times New Roman" w:cs="Times New Roman"/>
            <w:sz w:val="24"/>
            <w:szCs w:val="24"/>
          </w:rPr>
          <w:t>https://www.rbc.ru/politics/22/03/2021/60586bfb9a79475d57f90202</w:t>
        </w:r>
      </w:hyperlink>
      <w:r w:rsidR="00C92184" w:rsidRPr="00CB12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2184" w:rsidRPr="00C92184" w:rsidRDefault="004E5088" w:rsidP="00CB128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92184" w:rsidRPr="00CB1288">
        <w:rPr>
          <w:rFonts w:ascii="Times New Roman" w:hAnsi="Times New Roman" w:cs="Times New Roman"/>
          <w:sz w:val="24"/>
          <w:szCs w:val="24"/>
        </w:rPr>
        <w:t xml:space="preserve">. Официальный сайт новостного портала РБК [Электронный ресурс]: ЕС продлил санкции против России из-за ситуации на Украине. Режим доступа: </w:t>
      </w:r>
      <w:hyperlink r:id="rId10" w:history="1">
        <w:r w:rsidR="00C92184" w:rsidRPr="00CB1288">
          <w:rPr>
            <w:rStyle w:val="a3"/>
            <w:rFonts w:ascii="Times New Roman" w:hAnsi="Times New Roman" w:cs="Times New Roman"/>
            <w:sz w:val="24"/>
            <w:szCs w:val="24"/>
          </w:rPr>
          <w:t>https://www.rbc.ru/politics/12/03/2021/604b65e99a79472b20cd7ae4</w:t>
        </w:r>
      </w:hyperlink>
      <w:r w:rsidR="00C92184">
        <w:rPr>
          <w:rFonts w:ascii="Times New Roman" w:hAnsi="Times New Roman" w:cs="Times New Roman"/>
          <w:sz w:val="24"/>
        </w:rPr>
        <w:t xml:space="preserve"> </w:t>
      </w:r>
    </w:p>
    <w:sectPr w:rsidR="00C92184" w:rsidRPr="00C92184" w:rsidSect="00FD0BAB">
      <w:pgSz w:w="11906" w:h="16838"/>
      <w:pgMar w:top="1134" w:right="141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320" w:rsidRDefault="00535320" w:rsidP="00FD0BAB">
      <w:pPr>
        <w:spacing w:after="0" w:line="240" w:lineRule="auto"/>
      </w:pPr>
      <w:r>
        <w:separator/>
      </w:r>
    </w:p>
  </w:endnote>
  <w:endnote w:type="continuationSeparator" w:id="0">
    <w:p w:rsidR="00535320" w:rsidRDefault="00535320" w:rsidP="00FD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320" w:rsidRDefault="00535320" w:rsidP="00FD0BAB">
      <w:pPr>
        <w:spacing w:after="0" w:line="240" w:lineRule="auto"/>
      </w:pPr>
      <w:r>
        <w:separator/>
      </w:r>
    </w:p>
  </w:footnote>
  <w:footnote w:type="continuationSeparator" w:id="0">
    <w:p w:rsidR="00535320" w:rsidRDefault="00535320" w:rsidP="00FD0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00"/>
    <w:rsid w:val="00015D48"/>
    <w:rsid w:val="0019267A"/>
    <w:rsid w:val="00284F00"/>
    <w:rsid w:val="002D1502"/>
    <w:rsid w:val="004E5088"/>
    <w:rsid w:val="00501D73"/>
    <w:rsid w:val="00535320"/>
    <w:rsid w:val="00704C91"/>
    <w:rsid w:val="00C92184"/>
    <w:rsid w:val="00CB1288"/>
    <w:rsid w:val="00FD0BAB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6188"/>
  <w15:chartTrackingRefBased/>
  <w15:docId w15:val="{F4885422-29E9-4CFF-820E-3FA790A6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headquarters/headquarters-homepage/430/military-and-civilian-missions-and-operations_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eas.europa.eu/headquarters/headquarters-homepage/area/foreign-affairs_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granina8185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rbc.ru/politics/12/03/2021/604b65e99a79472b20cd7ae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bc.ru/politics/22/03/2021/60586bfb9a79475d57f9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2022-02-27T07:53:00Z</dcterms:created>
  <dcterms:modified xsi:type="dcterms:W3CDTF">2022-03-01T06:43:00Z</dcterms:modified>
</cp:coreProperties>
</file>