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AFC" w:rsidRDefault="008B576A">
      <w:pPr>
        <w:ind w:firstLineChars="100" w:firstLine="241"/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u-RU"/>
        </w:rPr>
        <w:t>Возможности использования коллективного способа обучения в условиях современной высшей школы</w:t>
      </w:r>
    </w:p>
    <w:p w:rsidR="00196AFC" w:rsidRDefault="008B576A">
      <w:pPr>
        <w:jc w:val="center"/>
        <w:rPr>
          <w:rFonts w:ascii="Times New Roman" w:eastAsia="SimSun" w:hAnsi="Times New Roman" w:cs="Times New Roman"/>
          <w:b/>
          <w:bCs/>
          <w:i/>
          <w:iCs/>
          <w:color w:val="000000" w:themeColor="text1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b/>
          <w:bCs/>
          <w:i/>
          <w:iCs/>
          <w:color w:val="000000" w:themeColor="text1"/>
          <w:sz w:val="24"/>
          <w:szCs w:val="24"/>
          <w:lang w:val="ru-RU"/>
        </w:rPr>
        <w:t>Мещерякова Галина Алексеевна</w:t>
      </w:r>
    </w:p>
    <w:p w:rsidR="00196AFC" w:rsidRDefault="008B576A">
      <w:pPr>
        <w:jc w:val="center"/>
        <w:rPr>
          <w:rFonts w:ascii="Times New Roman" w:eastAsia="SimSun" w:hAnsi="Times New Roman" w:cs="Times New Roman"/>
          <w:b/>
          <w:bCs/>
          <w:i/>
          <w:iCs/>
          <w:color w:val="000000" w:themeColor="text1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b/>
          <w:bCs/>
          <w:i/>
          <w:iCs/>
          <w:color w:val="000000" w:themeColor="text1"/>
          <w:sz w:val="24"/>
          <w:szCs w:val="24"/>
          <w:lang w:val="ru-RU"/>
        </w:rPr>
        <w:t>Студент</w:t>
      </w:r>
    </w:p>
    <w:p w:rsidR="00196AFC" w:rsidRDefault="008B576A">
      <w:pPr>
        <w:jc w:val="center"/>
        <w:rPr>
          <w:rFonts w:ascii="Times New Roman" w:eastAsia="SimSun" w:hAnsi="Times New Roman" w:cs="Times New Roman"/>
          <w:bCs/>
          <w:i/>
          <w:iCs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u-RU"/>
        </w:rPr>
        <w:t xml:space="preserve">Научный руководитель - Логинов А.Н., ассистент кафедры общей и социальной педагогики, </w:t>
      </w:r>
    </w:p>
    <w:p w:rsidR="00196AFC" w:rsidRDefault="008B576A">
      <w:pPr>
        <w:jc w:val="center"/>
        <w:rPr>
          <w:rFonts w:ascii="Times New Roman" w:eastAsia="SimSun" w:hAnsi="Times New Roman" w:cs="Times New Roman"/>
          <w:bCs/>
          <w:i/>
          <w:iCs/>
          <w:color w:val="000000" w:themeColor="text1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bCs/>
          <w:i/>
          <w:iCs/>
          <w:color w:val="000000" w:themeColor="text1"/>
          <w:sz w:val="24"/>
          <w:szCs w:val="24"/>
          <w:lang w:val="ru-RU"/>
        </w:rPr>
        <w:t>Алтайский государственный педагогический университет, Институт Психологии и Педагогики, Барнаул, Россия</w:t>
      </w:r>
    </w:p>
    <w:p w:rsidR="00196AFC" w:rsidRDefault="008B576A">
      <w:pPr>
        <w:jc w:val="center"/>
        <w:rPr>
          <w:rFonts w:ascii="Times New Roman" w:eastAsia="Arial" w:hAnsi="Times New Roman" w:cs="Times New Roman"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bCs/>
          <w:i/>
          <w:iCs/>
          <w:color w:val="000000" w:themeColor="text1"/>
          <w:sz w:val="24"/>
          <w:szCs w:val="24"/>
        </w:rPr>
        <w:t>E-mail: galina.me33@gmail.com</w:t>
      </w:r>
    </w:p>
    <w:p w:rsidR="00196AFC" w:rsidRDefault="00196AFC">
      <w:pPr>
        <w:jc w:val="center"/>
        <w:rPr>
          <w:rFonts w:ascii="Times New Roman" w:eastAsia="Arial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196AFC" w:rsidRDefault="008B576A">
      <w:pPr>
        <w:ind w:firstLine="42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 xml:space="preserve">Падает уровень 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коммуникации, такие выводы мы наблюдаем в статье «Современные проблемы коммуникации и понимания»</w:t>
      </w:r>
      <w:r w:rsidR="00005171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005171" w:rsidRPr="00005171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[1]</w:t>
      </w:r>
      <w:r w:rsidR="00005171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Клянчина Т.О., Жиркова А.Г, Коковкина А.А., Николаева А.А., Богатырева Н.Н.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в ходе профессиональной подготовки у студентов наблюдается снижение уровня коммун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икативной компетентности из года в год. Суть в том, что современные средства массовой коммуникации способствуют ослаблению активности межличностного общения, чувств социальной и моральной солидарности между людьми.</w:t>
      </w:r>
    </w:p>
    <w:p w:rsidR="00196AFC" w:rsidRDefault="008B576A">
      <w:pPr>
        <w:ind w:firstLine="42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Необходимость коммуникации между студента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ми является неотъемлемой частью жизни современного человека. Общаясь, люди получают и передают друг другу новую информацию, выстраивают модели взаимодействия друг с другом. В связи с этим очень важно грамотно выстраивать процесс общения между людьми. Грамо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тный процесс общения или же коммуникативная компетентность выступает, по мнению Н.С. Аболина и О.Б. Акимо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в</w:t>
      </w:r>
      <w:r w:rsidR="00005171" w:rsidRPr="00005171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[3</w:t>
      </w:r>
      <w:bookmarkStart w:id="0" w:name="_GoBack"/>
      <w:bookmarkEnd w:id="0"/>
      <w:r w:rsidR="00005171" w:rsidRPr="00005171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]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, как элемент профессиональной компетентности и является необходимым для современного профессионала.</w:t>
      </w:r>
    </w:p>
    <w:p w:rsidR="00196AFC" w:rsidRDefault="008B576A">
      <w:pPr>
        <w:ind w:firstLine="42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Коммуникативная компетентность характеризуется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 xml:space="preserve"> уровнем приобретённых речевых навыков и умений, обеспечивающих вербальное поведение. </w:t>
      </w:r>
    </w:p>
    <w:p w:rsidR="00196AFC" w:rsidRDefault="008B576A">
      <w:pPr>
        <w:ind w:firstLine="42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 xml:space="preserve">В своих работах Н.С. Аболина и О.Б Акимова выделяют следующие компоненты коммуникативной компетенции: </w:t>
      </w:r>
    </w:p>
    <w:p w:rsidR="00196AFC" w:rsidRDefault="008B576A">
      <w:pPr>
        <w:numPr>
          <w:ilvl w:val="0"/>
          <w:numId w:val="1"/>
        </w:numPr>
        <w:tabs>
          <w:tab w:val="left" w:pos="312"/>
        </w:tabs>
        <w:ind w:left="0" w:firstLine="42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 xml:space="preserve">Речь - главное средство коммуникации и развития человечества, она 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выражает личность, раскрывая её во всей полноте проявлений;</w:t>
      </w:r>
    </w:p>
    <w:p w:rsidR="00196AFC" w:rsidRDefault="008B576A">
      <w:pPr>
        <w:pStyle w:val="a8"/>
        <w:numPr>
          <w:ilvl w:val="0"/>
          <w:numId w:val="1"/>
        </w:numPr>
        <w:ind w:left="0" w:firstLine="42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Умение привлечь внимание, заставить себя слушать;</w:t>
      </w:r>
    </w:p>
    <w:p w:rsidR="00196AFC" w:rsidRDefault="008B576A">
      <w:pPr>
        <w:pStyle w:val="a8"/>
        <w:numPr>
          <w:ilvl w:val="0"/>
          <w:numId w:val="1"/>
        </w:numPr>
        <w:ind w:left="0" w:firstLine="42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Рефлексия представляет собой структуру психический процессов и их свойств, личностных качеств, знаний и умений.</w:t>
      </w:r>
    </w:p>
    <w:p w:rsidR="00196AFC" w:rsidRDefault="008B576A">
      <w:pPr>
        <w:pStyle w:val="a8"/>
        <w:ind w:left="0" w:firstLine="42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21 век — это век прогрессивных тех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 xml:space="preserve">нологий, в связи с которыми появилась потребность отойти от классического к более модернизированному процессу обучения. Для более эффективного способа обучения мы вынуждены переходить на ИКТ, таким образом можно сказать о том, что педагогика и наука «идёт 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в ногу со временем».</w:t>
      </w:r>
    </w:p>
    <w:p w:rsidR="00196AFC" w:rsidRDefault="008B576A">
      <w:pPr>
        <w:ind w:firstLine="42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С одной стороны изобретение электронных средств массовых коммуникаций воспринимается как решительный прорыв к построению целостного, прозрачного и разумного мира. С другой стороны, в центре его внимания находятся негативные последствия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 xml:space="preserve"> СМК: виртуализация реальности; манипуляция сознанием; разрушающее воздействие на человека уход от живого общения, который превращается в частичного разорванного субъекта. Такие выводы делает Клянчина Т.О. </w:t>
      </w:r>
    </w:p>
    <w:p w:rsidR="00196AFC" w:rsidRDefault="008B576A">
      <w:pPr>
        <w:pStyle w:val="a4"/>
        <w:spacing w:beforeAutospacing="0" w:afterAutospacing="0"/>
        <w:ind w:firstLine="420"/>
        <w:jc w:val="both"/>
        <w:rPr>
          <w:rFonts w:eastAsia="Arial"/>
          <w:color w:val="000000" w:themeColor="text1"/>
          <w:lang w:val="ru-RU"/>
        </w:rPr>
      </w:pPr>
      <w:r>
        <w:rPr>
          <w:rFonts w:eastAsia="Arial"/>
          <w:color w:val="000000" w:themeColor="text1"/>
          <w:lang w:val="ru-RU"/>
        </w:rPr>
        <w:t>По утверждению В. К. Дьяченко «обучение есть обще</w:t>
      </w:r>
      <w:r>
        <w:rPr>
          <w:rFonts w:eastAsia="Arial"/>
          <w:color w:val="000000" w:themeColor="text1"/>
          <w:lang w:val="ru-RU"/>
        </w:rPr>
        <w:t>ние обучаемых с обучающих. Вид общения определяет и организационную форму обучения». А.Г.Ривин</w:t>
      </w:r>
      <w:r w:rsidR="00005171" w:rsidRPr="00005171">
        <w:rPr>
          <w:rFonts w:eastAsia="Arial"/>
          <w:color w:val="000000" w:themeColor="text1"/>
          <w:lang w:val="ru-RU"/>
        </w:rPr>
        <w:t>[2]</w:t>
      </w:r>
      <w:r>
        <w:rPr>
          <w:rFonts w:eastAsia="Arial"/>
          <w:color w:val="000000" w:themeColor="text1"/>
          <w:lang w:val="ru-RU"/>
        </w:rPr>
        <w:t xml:space="preserve"> писал, что «...коллективным способом обучения является такая его организация, при которой</w:t>
      </w:r>
      <w:r>
        <w:rPr>
          <w:rFonts w:eastAsia="Arial"/>
          <w:color w:val="000000" w:themeColor="text1"/>
          <w:lang w:val="ru-RU"/>
        </w:rPr>
        <w:t xml:space="preserve"> </w:t>
      </w:r>
      <w:r>
        <w:rPr>
          <w:rFonts w:eastAsia="Arial"/>
          <w:color w:val="000000" w:themeColor="text1"/>
          <w:lang w:val="ru-RU"/>
        </w:rPr>
        <w:t>обучение осуществляется путём общения в динамических парах, когда каждый учит каждого».</w:t>
      </w:r>
    </w:p>
    <w:p w:rsidR="00196AFC" w:rsidRDefault="008B576A">
      <w:pPr>
        <w:ind w:firstLine="42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 xml:space="preserve">Данная разработка помогает учащимся быстро и качественно усвоить 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материал, после получения новой информации применяет на практике или передаёт другим. Такие результаты проверены на личном опыте и практике основателя технологии.</w:t>
      </w:r>
    </w:p>
    <w:p w:rsidR="00196AFC" w:rsidRDefault="008B576A">
      <w:pPr>
        <w:ind w:firstLineChars="100" w:firstLine="24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lastRenderedPageBreak/>
        <w:t>Одной из форм развития коммуникативной компетенции у студентов в ходе профессиональной подгот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овки, по нашему мнению, может выступать коллективный способ обучения (КСО), а именно технология работы в парах сменного состава. Данная технология была разработана А. Г. Ривина и продолжена В. К. Дьяченко. Однако в связи с большим количеством электронных г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 xml:space="preserve">аджетов, применяемых повсеместно, процесс «живого» общения уходит на второй план. А активное использование дистанционных форм обучения в период распространения короновирусной инфекции сокращает время «живого» общения субъектов учебного процесса. Исходя из 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этого возникает необходимость модернизации разработанной технологии под современные образовательные потребности. Модернизация и внедрение данной технологии в современный образовательный процесс, по нашему мнению, позволит повысить уровень коммуникативной к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 xml:space="preserve">омпетентности, что естественным образом скажется на повышении уровня профессиональной подготовки, а также развитии личностных качеств будущих профессионалов любых областей знания. </w:t>
      </w:r>
    </w:p>
    <w:p w:rsidR="00196AFC" w:rsidRDefault="008B576A">
      <w:pPr>
        <w:ind w:firstLineChars="100" w:firstLine="24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Данная технология, в условиях дистанционного обучения также будет способств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овать развитию аналитических способностей студентов путем взаимного обучения и коллективной ответственности пред всеми участниками образовательного процесса. Средства КСО и ИКТ очень тесно связаны друг другом, т.к они основываются на цифровых технологиях</w:t>
      </w:r>
      <w:r w:rsidR="00005171" w:rsidRPr="00005171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[4]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196AFC" w:rsidRDefault="008B576A">
      <w:pPr>
        <w:ind w:firstLineChars="100" w:firstLine="24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Одной из наиболее острых проблем организации КСО в дистанционной форме является организация контроля со стороны преподавателя, а также консультирование и организация работы в парах сменного состава. В связи чем мы видим необходимость в изучении модернизаци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 xml:space="preserve">и современного дистанционного образования и возможности модернизаций технологий КСО под требования современной образовательной среды. </w:t>
      </w:r>
    </w:p>
    <w:p w:rsidR="00196AFC" w:rsidRDefault="008B576A">
      <w:pPr>
        <w:ind w:firstLine="42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Разработку возможно осуществить в реальности с помощью образовательных платформ. Где будет происходить процесс коллективн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ого способа обучения в парах сменного состава, под руководством педагога. Данную систему необходимо совершенствовать для более успешного и эффективного результата обучения. Но как организовать эту систему является проблемой, которая требует дальнейшего изу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чения.</w:t>
      </w:r>
    </w:p>
    <w:p w:rsidR="00196AFC" w:rsidRDefault="00196AFC">
      <w:pPr>
        <w:ind w:firstLineChars="100" w:firstLine="24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</w:pPr>
    </w:p>
    <w:p w:rsidR="00196AFC" w:rsidRDefault="008B576A">
      <w:pPr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u-RU"/>
        </w:rPr>
        <w:t>Литература</w:t>
      </w:r>
    </w:p>
    <w:p w:rsidR="00196AFC" w:rsidRDefault="00196AFC">
      <w:pPr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196AFC" w:rsidRDefault="008B576A">
      <w:pPr>
        <w:numPr>
          <w:ilvl w:val="0"/>
          <w:numId w:val="2"/>
        </w:numPr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В.К. Дьяченко. Сотрудничество в обучении. : М. «Просвещение». 1991г.</w:t>
      </w:r>
    </w:p>
    <w:p w:rsidR="00196AFC" w:rsidRDefault="008B576A">
      <w:pPr>
        <w:numPr>
          <w:ilvl w:val="0"/>
          <w:numId w:val="2"/>
        </w:numPr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Клянчина Т. О., Жиркова А. Г., Коковкина А. А., Николаева А. А., Богатырева Н. Н. Современные проблемы коммуникации и понимания // БМИК. 2014. №11. </w:t>
      </w:r>
      <w:r>
        <w:rPr>
          <w:rFonts w:ascii="Times New Roman" w:eastAsia="sans-serif" w:hAnsi="Times New Roman" w:cs="Times New Roman"/>
          <w:sz w:val="24"/>
          <w:szCs w:val="24"/>
        </w:rPr>
        <w:t>URL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: </w:t>
      </w:r>
      <w:r>
        <w:rPr>
          <w:rFonts w:ascii="Times New Roman" w:eastAsia="sans-serif" w:hAnsi="Times New Roman" w:cs="Times New Roman"/>
          <w:sz w:val="24"/>
          <w:szCs w:val="24"/>
        </w:rPr>
        <w:t>https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://</w:t>
      </w:r>
      <w:r>
        <w:rPr>
          <w:rFonts w:ascii="Times New Roman" w:eastAsia="sans-serif" w:hAnsi="Times New Roman" w:cs="Times New Roman"/>
          <w:sz w:val="24"/>
          <w:szCs w:val="24"/>
        </w:rPr>
        <w:t>cyberl</w:t>
      </w:r>
      <w:r>
        <w:rPr>
          <w:rFonts w:ascii="Times New Roman" w:eastAsia="sans-serif" w:hAnsi="Times New Roman" w:cs="Times New Roman"/>
          <w:sz w:val="24"/>
          <w:szCs w:val="24"/>
        </w:rPr>
        <w:t>eninka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.</w:t>
      </w:r>
      <w:r>
        <w:rPr>
          <w:rFonts w:ascii="Times New Roman" w:eastAsia="sans-serif" w:hAnsi="Times New Roman" w:cs="Times New Roman"/>
          <w:sz w:val="24"/>
          <w:szCs w:val="24"/>
        </w:rPr>
        <w:t>ru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/</w:t>
      </w:r>
      <w:r>
        <w:rPr>
          <w:rFonts w:ascii="Times New Roman" w:eastAsia="sans-serif" w:hAnsi="Times New Roman" w:cs="Times New Roman"/>
          <w:sz w:val="24"/>
          <w:szCs w:val="24"/>
        </w:rPr>
        <w:t>article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/</w:t>
      </w:r>
      <w:r>
        <w:rPr>
          <w:rFonts w:ascii="Times New Roman" w:eastAsia="sans-serif" w:hAnsi="Times New Roman" w:cs="Times New Roman"/>
          <w:sz w:val="24"/>
          <w:szCs w:val="24"/>
        </w:rPr>
        <w:t>n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/</w:t>
      </w:r>
      <w:r>
        <w:rPr>
          <w:rFonts w:ascii="Times New Roman" w:eastAsia="sans-serif" w:hAnsi="Times New Roman" w:cs="Times New Roman"/>
          <w:sz w:val="24"/>
          <w:szCs w:val="24"/>
        </w:rPr>
        <w:t>sovremennye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sans-serif" w:hAnsi="Times New Roman" w:cs="Times New Roman"/>
          <w:sz w:val="24"/>
          <w:szCs w:val="24"/>
        </w:rPr>
        <w:t>problemy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sans-serif" w:hAnsi="Times New Roman" w:cs="Times New Roman"/>
          <w:sz w:val="24"/>
          <w:szCs w:val="24"/>
        </w:rPr>
        <w:t>kommunikatsii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sans-serif" w:hAnsi="Times New Roman" w:cs="Times New Roman"/>
          <w:sz w:val="24"/>
          <w:szCs w:val="24"/>
        </w:rPr>
        <w:t>i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sans-serif" w:hAnsi="Times New Roman" w:cs="Times New Roman"/>
          <w:sz w:val="24"/>
          <w:szCs w:val="24"/>
        </w:rPr>
        <w:t>ponimaniya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 (дата обращения: 22.11.2020).</w:t>
      </w:r>
    </w:p>
    <w:p w:rsidR="00196AFC" w:rsidRDefault="008B576A">
      <w:pPr>
        <w:numPr>
          <w:ilvl w:val="0"/>
          <w:numId w:val="2"/>
        </w:numPr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Аболина Наталья Семеновна, Акимова Ольга Борисовна Формирование коммуникативной компетенции в процессе профессионального обучения // Образование и наука. 2012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. №9. </w:t>
      </w:r>
      <w:r>
        <w:rPr>
          <w:rFonts w:ascii="Times New Roman" w:eastAsia="sans-serif" w:hAnsi="Times New Roman" w:cs="Times New Roman"/>
          <w:sz w:val="24"/>
          <w:szCs w:val="24"/>
        </w:rPr>
        <w:t>URL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: </w:t>
      </w:r>
      <w:r>
        <w:rPr>
          <w:rFonts w:ascii="Times New Roman" w:eastAsia="sans-serif" w:hAnsi="Times New Roman" w:cs="Times New Roman"/>
          <w:sz w:val="24"/>
          <w:szCs w:val="24"/>
        </w:rPr>
        <w:t>https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://</w:t>
      </w:r>
      <w:r>
        <w:rPr>
          <w:rFonts w:ascii="Times New Roman" w:eastAsia="sans-serif" w:hAnsi="Times New Roman" w:cs="Times New Roman"/>
          <w:sz w:val="24"/>
          <w:szCs w:val="24"/>
        </w:rPr>
        <w:t>cyberleninka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.</w:t>
      </w:r>
      <w:r>
        <w:rPr>
          <w:rFonts w:ascii="Times New Roman" w:eastAsia="sans-serif" w:hAnsi="Times New Roman" w:cs="Times New Roman"/>
          <w:sz w:val="24"/>
          <w:szCs w:val="24"/>
        </w:rPr>
        <w:t>ru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/</w:t>
      </w:r>
      <w:r>
        <w:rPr>
          <w:rFonts w:ascii="Times New Roman" w:eastAsia="sans-serif" w:hAnsi="Times New Roman" w:cs="Times New Roman"/>
          <w:sz w:val="24"/>
          <w:szCs w:val="24"/>
        </w:rPr>
        <w:t>article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/</w:t>
      </w:r>
      <w:r>
        <w:rPr>
          <w:rFonts w:ascii="Times New Roman" w:eastAsia="sans-serif" w:hAnsi="Times New Roman" w:cs="Times New Roman"/>
          <w:sz w:val="24"/>
          <w:szCs w:val="24"/>
        </w:rPr>
        <w:t>n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/</w:t>
      </w:r>
      <w:r>
        <w:rPr>
          <w:rFonts w:ascii="Times New Roman" w:eastAsia="sans-serif" w:hAnsi="Times New Roman" w:cs="Times New Roman"/>
          <w:sz w:val="24"/>
          <w:szCs w:val="24"/>
        </w:rPr>
        <w:t>formirovanie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sans-serif" w:hAnsi="Times New Roman" w:cs="Times New Roman"/>
          <w:sz w:val="24"/>
          <w:szCs w:val="24"/>
        </w:rPr>
        <w:t>kommunikativnoy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sans-serif" w:hAnsi="Times New Roman" w:cs="Times New Roman"/>
          <w:sz w:val="24"/>
          <w:szCs w:val="24"/>
        </w:rPr>
        <w:t>kompetentsii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sans-serif" w:hAnsi="Times New Roman" w:cs="Times New Roman"/>
          <w:sz w:val="24"/>
          <w:szCs w:val="24"/>
        </w:rPr>
        <w:t>v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sans-serif" w:hAnsi="Times New Roman" w:cs="Times New Roman"/>
          <w:sz w:val="24"/>
          <w:szCs w:val="24"/>
        </w:rPr>
        <w:t>protsesse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sans-serif" w:hAnsi="Times New Roman" w:cs="Times New Roman"/>
          <w:sz w:val="24"/>
          <w:szCs w:val="24"/>
        </w:rPr>
        <w:t>professionalnogo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sans-serif" w:hAnsi="Times New Roman" w:cs="Times New Roman"/>
          <w:sz w:val="24"/>
          <w:szCs w:val="24"/>
        </w:rPr>
        <w:t>obucheniya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 (дата обращения: 22.11.2020).</w:t>
      </w:r>
    </w:p>
    <w:p w:rsidR="00196AFC" w:rsidRDefault="008B576A">
      <w:pPr>
        <w:numPr>
          <w:ilvl w:val="0"/>
          <w:numId w:val="2"/>
        </w:numPr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Кузнецова Наталья Сергеевна, Болдакова Инна Вячеславовна Коллективный способ обучения - обучение че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рез общение // Вестник Костромского государственного университета. Серия: Педагогика. Психология. Социокинетика. 2017. №1. </w:t>
      </w:r>
      <w:r>
        <w:rPr>
          <w:rFonts w:ascii="Times New Roman" w:eastAsia="sans-serif" w:hAnsi="Times New Roman" w:cs="Times New Roman"/>
          <w:sz w:val="24"/>
          <w:szCs w:val="24"/>
        </w:rPr>
        <w:t>URL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: </w:t>
      </w:r>
      <w:r>
        <w:rPr>
          <w:rFonts w:ascii="Times New Roman" w:eastAsia="sans-serif" w:hAnsi="Times New Roman" w:cs="Times New Roman"/>
          <w:sz w:val="24"/>
          <w:szCs w:val="24"/>
        </w:rPr>
        <w:t>https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://</w:t>
      </w:r>
      <w:r>
        <w:rPr>
          <w:rFonts w:ascii="Times New Roman" w:eastAsia="sans-serif" w:hAnsi="Times New Roman" w:cs="Times New Roman"/>
          <w:sz w:val="24"/>
          <w:szCs w:val="24"/>
        </w:rPr>
        <w:t>cyberleninka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.</w:t>
      </w:r>
      <w:r>
        <w:rPr>
          <w:rFonts w:ascii="Times New Roman" w:eastAsia="sans-serif" w:hAnsi="Times New Roman" w:cs="Times New Roman"/>
          <w:sz w:val="24"/>
          <w:szCs w:val="24"/>
        </w:rPr>
        <w:t>ru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/</w:t>
      </w:r>
      <w:r>
        <w:rPr>
          <w:rFonts w:ascii="Times New Roman" w:eastAsia="sans-serif" w:hAnsi="Times New Roman" w:cs="Times New Roman"/>
          <w:sz w:val="24"/>
          <w:szCs w:val="24"/>
        </w:rPr>
        <w:t>article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/</w:t>
      </w:r>
      <w:r>
        <w:rPr>
          <w:rFonts w:ascii="Times New Roman" w:eastAsia="sans-serif" w:hAnsi="Times New Roman" w:cs="Times New Roman"/>
          <w:sz w:val="24"/>
          <w:szCs w:val="24"/>
        </w:rPr>
        <w:t>n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/</w:t>
      </w:r>
      <w:r>
        <w:rPr>
          <w:rFonts w:ascii="Times New Roman" w:eastAsia="sans-serif" w:hAnsi="Times New Roman" w:cs="Times New Roman"/>
          <w:sz w:val="24"/>
          <w:szCs w:val="24"/>
        </w:rPr>
        <w:t>kollektivnyy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sans-serif" w:hAnsi="Times New Roman" w:cs="Times New Roman"/>
          <w:sz w:val="24"/>
          <w:szCs w:val="24"/>
        </w:rPr>
        <w:t>sposob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sans-serif" w:hAnsi="Times New Roman" w:cs="Times New Roman"/>
          <w:sz w:val="24"/>
          <w:szCs w:val="24"/>
        </w:rPr>
        <w:t>obucheniya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sans-serif" w:hAnsi="Times New Roman" w:cs="Times New Roman"/>
          <w:sz w:val="24"/>
          <w:szCs w:val="24"/>
        </w:rPr>
        <w:t>obuchenie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sans-serif" w:hAnsi="Times New Roman" w:cs="Times New Roman"/>
          <w:sz w:val="24"/>
          <w:szCs w:val="24"/>
        </w:rPr>
        <w:t>cherez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sans-serif" w:hAnsi="Times New Roman" w:cs="Times New Roman"/>
          <w:sz w:val="24"/>
          <w:szCs w:val="24"/>
        </w:rPr>
        <w:t>obschenie</w:t>
      </w:r>
      <w:r w:rsidRPr="00005171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 (дата обращения: 22.11.2020).</w:t>
      </w:r>
    </w:p>
    <w:p w:rsidR="00196AFC" w:rsidRDefault="00196AFC">
      <w:pPr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</w:p>
    <w:p w:rsidR="00196AFC" w:rsidRDefault="00196AFC">
      <w:pPr>
        <w:jc w:val="both"/>
        <w:rPr>
          <w:rFonts w:ascii="Times New Roman" w:eastAsia="Arial" w:hAnsi="Times New Roman"/>
          <w:color w:val="000000" w:themeColor="text1"/>
          <w:sz w:val="24"/>
          <w:szCs w:val="24"/>
          <w:lang w:val="ru-RU"/>
        </w:rPr>
      </w:pPr>
    </w:p>
    <w:sectPr w:rsidR="00196AFC">
      <w:pgSz w:w="11906" w:h="16838"/>
      <w:pgMar w:top="1134" w:right="1361" w:bottom="1134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76A" w:rsidRDefault="008B576A">
      <w:r>
        <w:separator/>
      </w:r>
    </w:p>
  </w:endnote>
  <w:endnote w:type="continuationSeparator" w:id="0">
    <w:p w:rsidR="008B576A" w:rsidRDefault="008B5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Liberation Mono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76A" w:rsidRDefault="008B576A">
      <w:r>
        <w:separator/>
      </w:r>
    </w:p>
  </w:footnote>
  <w:footnote w:type="continuationSeparator" w:id="0">
    <w:p w:rsidR="008B576A" w:rsidRDefault="008B5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A7B0D"/>
    <w:multiLevelType w:val="multilevel"/>
    <w:tmpl w:val="050A7B0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DC887"/>
    <w:multiLevelType w:val="singleLevel"/>
    <w:tmpl w:val="32BDC887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2ED1"/>
    <w:rsid w:val="00005171"/>
    <w:rsid w:val="00012075"/>
    <w:rsid w:val="00030C7A"/>
    <w:rsid w:val="0003536B"/>
    <w:rsid w:val="000D188E"/>
    <w:rsid w:val="00196AFC"/>
    <w:rsid w:val="00241330"/>
    <w:rsid w:val="00451CE7"/>
    <w:rsid w:val="0055393C"/>
    <w:rsid w:val="005A2819"/>
    <w:rsid w:val="00726D63"/>
    <w:rsid w:val="007A5232"/>
    <w:rsid w:val="007C7553"/>
    <w:rsid w:val="00830DAE"/>
    <w:rsid w:val="008B576A"/>
    <w:rsid w:val="00963583"/>
    <w:rsid w:val="009B5759"/>
    <w:rsid w:val="00AC41B7"/>
    <w:rsid w:val="00DB7E6C"/>
    <w:rsid w:val="00DF0A21"/>
    <w:rsid w:val="00EC2ED1"/>
    <w:rsid w:val="00F9170E"/>
    <w:rsid w:val="0220479A"/>
    <w:rsid w:val="0EE60864"/>
    <w:rsid w:val="12A824AE"/>
    <w:rsid w:val="14F16520"/>
    <w:rsid w:val="220F0EA3"/>
    <w:rsid w:val="2533058C"/>
    <w:rsid w:val="2E087B68"/>
    <w:rsid w:val="315E3EC2"/>
    <w:rsid w:val="3A7B455C"/>
    <w:rsid w:val="41B14857"/>
    <w:rsid w:val="49EB0F8A"/>
    <w:rsid w:val="4EC455BB"/>
    <w:rsid w:val="4F6100F7"/>
    <w:rsid w:val="7620223E"/>
    <w:rsid w:val="7DDD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98F9D5"/>
  <w15:docId w15:val="{608EAF97-EEC5-43C9-B947-1A62F9BAB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pPr>
      <w:snapToGrid w:val="0"/>
    </w:pPr>
    <w:rPr>
      <w:sz w:val="18"/>
      <w:szCs w:val="18"/>
    </w:rPr>
  </w:style>
  <w:style w:type="paragraph" w:styleId="a4">
    <w:name w:val="Normal (Web)"/>
    <w:basedOn w:val="a"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</w:rPr>
  </w:style>
  <w:style w:type="character" w:styleId="a5">
    <w:name w:val="footnote reference"/>
    <w:basedOn w:val="a0"/>
    <w:rPr>
      <w:vertAlign w:val="superscript"/>
    </w:rPr>
  </w:style>
  <w:style w:type="character" w:styleId="a6">
    <w:name w:val="Hyperlink"/>
    <w:basedOn w:val="a0"/>
    <w:qFormat/>
    <w:rPr>
      <w:color w:val="0000FF"/>
      <w:u w:val="single"/>
    </w:rPr>
  </w:style>
  <w:style w:type="character" w:styleId="a7">
    <w:name w:val="Strong"/>
    <w:basedOn w:val="a0"/>
    <w:qFormat/>
    <w:rPr>
      <w:b/>
      <w:bCs/>
    </w:rPr>
  </w:style>
  <w:style w:type="paragraph" w:styleId="a8">
    <w:name w:val="List Paragraph"/>
    <w:basedOn w:val="a"/>
    <w:uiPriority w:val="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946</Words>
  <Characters>5395</Characters>
  <Application>Microsoft Office Word</Application>
  <DocSecurity>0</DocSecurity>
  <Lines>44</Lines>
  <Paragraphs>12</Paragraphs>
  <ScaleCrop>false</ScaleCrop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Алексеевна</dc:creator>
  <cp:lastModifiedBy>Логинов Антон Николаевич</cp:lastModifiedBy>
  <cp:revision>8</cp:revision>
  <dcterms:created xsi:type="dcterms:W3CDTF">2020-11-17T13:31:00Z</dcterms:created>
  <dcterms:modified xsi:type="dcterms:W3CDTF">2020-11-22T05:02:00Z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