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BC6" w:rsidRDefault="002626F7" w:rsidP="007D7BC6">
      <w:pPr>
        <w:jc w:val="center"/>
        <w:rPr>
          <w:b/>
          <w:sz w:val="24"/>
          <w:szCs w:val="24"/>
        </w:rPr>
      </w:pPr>
      <w:r w:rsidRPr="002626F7">
        <w:rPr>
          <w:b/>
          <w:sz w:val="24"/>
          <w:szCs w:val="24"/>
        </w:rPr>
        <w:t xml:space="preserve">Порошковый механокомпозит для детонационно-газового </w:t>
      </w:r>
    </w:p>
    <w:p w:rsidR="002626F7" w:rsidRPr="002626F7" w:rsidRDefault="002626F7" w:rsidP="007D7BC6">
      <w:pPr>
        <w:jc w:val="center"/>
        <w:rPr>
          <w:b/>
          <w:sz w:val="24"/>
          <w:szCs w:val="24"/>
        </w:rPr>
      </w:pPr>
      <w:r w:rsidRPr="002626F7">
        <w:rPr>
          <w:b/>
          <w:sz w:val="24"/>
          <w:szCs w:val="24"/>
        </w:rPr>
        <w:t>напыления биопокрытий</w:t>
      </w:r>
    </w:p>
    <w:p w:rsidR="002626F7" w:rsidRPr="002626F7" w:rsidRDefault="002626F7" w:rsidP="007D7BC6">
      <w:pPr>
        <w:jc w:val="center"/>
        <w:rPr>
          <w:i/>
          <w:sz w:val="24"/>
          <w:szCs w:val="24"/>
        </w:rPr>
      </w:pPr>
      <w:r w:rsidRPr="002626F7">
        <w:rPr>
          <w:i/>
          <w:sz w:val="24"/>
          <w:szCs w:val="24"/>
        </w:rPr>
        <w:t>Попова А</w:t>
      </w:r>
      <w:r w:rsidR="00806ECA">
        <w:rPr>
          <w:i/>
          <w:sz w:val="24"/>
          <w:szCs w:val="24"/>
        </w:rPr>
        <w:t>настасия Александровна</w:t>
      </w:r>
    </w:p>
    <w:p w:rsidR="002626F7" w:rsidRPr="002626F7" w:rsidRDefault="002626F7" w:rsidP="007D7BC6">
      <w:pPr>
        <w:jc w:val="center"/>
        <w:rPr>
          <w:i/>
          <w:sz w:val="24"/>
          <w:szCs w:val="24"/>
        </w:rPr>
      </w:pPr>
      <w:r w:rsidRPr="002626F7">
        <w:rPr>
          <w:i/>
          <w:sz w:val="24"/>
          <w:szCs w:val="24"/>
        </w:rPr>
        <w:t>Доцент</w:t>
      </w:r>
      <w:r>
        <w:rPr>
          <w:i/>
          <w:sz w:val="24"/>
          <w:szCs w:val="24"/>
        </w:rPr>
        <w:t>, к.т.н.</w:t>
      </w:r>
    </w:p>
    <w:p w:rsidR="002626F7" w:rsidRDefault="002626F7" w:rsidP="007D7BC6">
      <w:pPr>
        <w:jc w:val="center"/>
        <w:rPr>
          <w:bCs/>
          <w:i/>
          <w:sz w:val="24"/>
          <w:szCs w:val="24"/>
        </w:rPr>
      </w:pPr>
      <w:bookmarkStart w:id="0" w:name="_GoBack"/>
      <w:r w:rsidRPr="004747F4">
        <w:rPr>
          <w:bCs/>
          <w:i/>
          <w:sz w:val="24"/>
          <w:szCs w:val="24"/>
        </w:rPr>
        <w:t>Алтайский государственный технический университет им. И. И. Ползунова</w:t>
      </w:r>
    </w:p>
    <w:bookmarkEnd w:id="0"/>
    <w:p w:rsidR="002626F7" w:rsidRDefault="002626F7" w:rsidP="007D7BC6">
      <w:pPr>
        <w:jc w:val="center"/>
        <w:rPr>
          <w:bCs/>
          <w:i/>
          <w:sz w:val="24"/>
          <w:szCs w:val="24"/>
        </w:rPr>
      </w:pPr>
      <w:r>
        <w:rPr>
          <w:bCs/>
          <w:i/>
          <w:sz w:val="24"/>
          <w:szCs w:val="24"/>
        </w:rPr>
        <w:t xml:space="preserve">Факультет специальных технологий, </w:t>
      </w:r>
      <w:r>
        <w:rPr>
          <w:bCs/>
          <w:i/>
          <w:sz w:val="24"/>
          <w:szCs w:val="24"/>
        </w:rPr>
        <w:t>г. Барнаул, Россия</w:t>
      </w:r>
    </w:p>
    <w:p w:rsidR="002626F7" w:rsidRPr="002626F7" w:rsidRDefault="002626F7" w:rsidP="007D7BC6">
      <w:pPr>
        <w:jc w:val="center"/>
        <w:rPr>
          <w:bCs/>
          <w:i/>
          <w:sz w:val="24"/>
          <w:szCs w:val="24"/>
        </w:rPr>
      </w:pPr>
      <w:r w:rsidRPr="002626F7">
        <w:rPr>
          <w:i/>
          <w:iCs/>
          <w:color w:val="353535"/>
          <w:sz w:val="24"/>
          <w:szCs w:val="23"/>
          <w:lang w:eastAsia="ru-RU"/>
        </w:rPr>
        <w:t>E–mail:</w:t>
      </w:r>
      <w:r>
        <w:rPr>
          <w:i/>
          <w:iCs/>
          <w:color w:val="353535"/>
          <w:sz w:val="24"/>
          <w:szCs w:val="23"/>
          <w:lang w:eastAsia="ru-RU"/>
        </w:rPr>
        <w:t xml:space="preserve"> </w:t>
      </w:r>
      <w:r>
        <w:rPr>
          <w:i/>
          <w:iCs/>
          <w:color w:val="353535"/>
          <w:sz w:val="24"/>
          <w:szCs w:val="23"/>
          <w:lang w:val="en-US" w:eastAsia="ru-RU"/>
        </w:rPr>
        <w:t>anast</w:t>
      </w:r>
      <w:r w:rsidRPr="002626F7">
        <w:rPr>
          <w:i/>
          <w:iCs/>
          <w:color w:val="353535"/>
          <w:sz w:val="24"/>
          <w:szCs w:val="23"/>
          <w:lang w:eastAsia="ru-RU"/>
        </w:rPr>
        <w:t>_82@</w:t>
      </w:r>
      <w:r>
        <w:rPr>
          <w:i/>
          <w:iCs/>
          <w:color w:val="353535"/>
          <w:sz w:val="24"/>
          <w:szCs w:val="23"/>
          <w:lang w:val="en-US" w:eastAsia="ru-RU"/>
        </w:rPr>
        <w:t>mail</w:t>
      </w:r>
      <w:r w:rsidRPr="002626F7">
        <w:rPr>
          <w:i/>
          <w:iCs/>
          <w:color w:val="353535"/>
          <w:sz w:val="24"/>
          <w:szCs w:val="23"/>
          <w:lang w:eastAsia="ru-RU"/>
        </w:rPr>
        <w:t>.</w:t>
      </w:r>
      <w:r>
        <w:rPr>
          <w:i/>
          <w:iCs/>
          <w:color w:val="353535"/>
          <w:sz w:val="24"/>
          <w:szCs w:val="23"/>
          <w:lang w:val="en-US" w:eastAsia="ru-RU"/>
        </w:rPr>
        <w:t>ru</w:t>
      </w:r>
    </w:p>
    <w:p w:rsidR="002626F7" w:rsidRDefault="002626F7" w:rsidP="007D7BC6">
      <w:pPr>
        <w:jc w:val="center"/>
        <w:rPr>
          <w:sz w:val="24"/>
          <w:szCs w:val="24"/>
        </w:rPr>
      </w:pPr>
    </w:p>
    <w:p w:rsidR="002626F7" w:rsidRPr="00BC0AA8" w:rsidRDefault="002626F7" w:rsidP="007D7BC6">
      <w:pPr>
        <w:ind w:firstLine="397"/>
        <w:jc w:val="both"/>
        <w:rPr>
          <w:sz w:val="24"/>
          <w:szCs w:val="24"/>
          <w:lang w:eastAsia="en-US"/>
        </w:rPr>
      </w:pPr>
      <w:r w:rsidRPr="00BC0AA8">
        <w:rPr>
          <w:sz w:val="24"/>
          <w:szCs w:val="24"/>
        </w:rPr>
        <w:t xml:space="preserve">Одним из наиболее интенсивно развивающихся направлений современного медицинского материаловедения является создание имплантатов для замены поврежденных участков ткани. При этом возникает необходимость нанесения на имплантанты биосовместимых покрытий, которые не оказывают отрицательного действия на живой организм и стимулируют процессы регенерации ткани. </w:t>
      </w:r>
    </w:p>
    <w:p w:rsidR="002626F7" w:rsidRPr="00BC0AA8" w:rsidRDefault="002626F7" w:rsidP="007D7BC6">
      <w:pPr>
        <w:ind w:firstLine="397"/>
        <w:jc w:val="both"/>
        <w:rPr>
          <w:sz w:val="24"/>
          <w:szCs w:val="24"/>
        </w:rPr>
      </w:pPr>
      <w:r w:rsidRPr="00BC0AA8">
        <w:rPr>
          <w:sz w:val="24"/>
          <w:szCs w:val="24"/>
        </w:rPr>
        <w:t>К таким материалам для нанесения покрытий относится гидроксиапатит (ГА) - (Ca</w:t>
      </w:r>
      <w:r w:rsidRPr="00BC0AA8">
        <w:rPr>
          <w:sz w:val="24"/>
          <w:szCs w:val="24"/>
          <w:vertAlign w:val="subscript"/>
        </w:rPr>
        <w:t>10</w:t>
      </w:r>
      <w:r w:rsidRPr="00BC0AA8">
        <w:rPr>
          <w:sz w:val="24"/>
          <w:szCs w:val="24"/>
        </w:rPr>
        <w:t>(PO</w:t>
      </w:r>
      <w:r w:rsidRPr="00BC0AA8">
        <w:rPr>
          <w:sz w:val="24"/>
          <w:szCs w:val="24"/>
          <w:vertAlign w:val="subscript"/>
        </w:rPr>
        <w:t>4</w:t>
      </w:r>
      <w:r w:rsidRPr="00BC0AA8">
        <w:rPr>
          <w:sz w:val="24"/>
          <w:szCs w:val="24"/>
        </w:rPr>
        <w:t>)</w:t>
      </w:r>
      <w:r w:rsidRPr="00BC0AA8">
        <w:rPr>
          <w:sz w:val="24"/>
          <w:szCs w:val="24"/>
          <w:vertAlign w:val="subscript"/>
        </w:rPr>
        <w:t>6</w:t>
      </w:r>
      <w:r w:rsidRPr="00BC0AA8">
        <w:rPr>
          <w:sz w:val="24"/>
          <w:szCs w:val="24"/>
        </w:rPr>
        <w:t>(OH)</w:t>
      </w:r>
      <w:r w:rsidRPr="00BC0AA8">
        <w:rPr>
          <w:sz w:val="24"/>
          <w:szCs w:val="24"/>
          <w:vertAlign w:val="subscript"/>
        </w:rPr>
        <w:t>2</w:t>
      </w:r>
      <w:r w:rsidRPr="00BC0AA8">
        <w:rPr>
          <w:sz w:val="24"/>
          <w:szCs w:val="24"/>
        </w:rPr>
        <w:t>). Однако низкие механические характеристики покрытий из ГА, такие как прочность, трещиностойкость и стойкость к ударным нагрузкам, ограничивают применение ГА для имплантатов [1].</w:t>
      </w:r>
    </w:p>
    <w:p w:rsidR="002626F7" w:rsidRPr="00BC0AA8" w:rsidRDefault="002626F7" w:rsidP="007D7BC6">
      <w:pPr>
        <w:ind w:firstLine="397"/>
        <w:jc w:val="both"/>
        <w:rPr>
          <w:sz w:val="24"/>
          <w:szCs w:val="24"/>
        </w:rPr>
      </w:pPr>
      <w:r w:rsidRPr="00BC0AA8">
        <w:rPr>
          <w:sz w:val="24"/>
          <w:szCs w:val="24"/>
        </w:rPr>
        <w:t>Задача создания прочных биосовместимых покрытий может быть решена введением в состав порошковой смеси из гидроксиапатита кальция матрицы из сверхэластичного материала, обладающего высокой биохимической и биомеханической совместимостью. В данной работе, в качестве такого материала, используется никелид титана. Высокая пористость имплан</w:t>
      </w:r>
      <w:r w:rsidR="00494E99">
        <w:rPr>
          <w:sz w:val="24"/>
          <w:szCs w:val="24"/>
        </w:rPr>
        <w:t>тов никелида титана (80-90%)</w:t>
      </w:r>
      <w:r w:rsidRPr="00BC0AA8">
        <w:rPr>
          <w:sz w:val="24"/>
          <w:szCs w:val="24"/>
        </w:rPr>
        <w:t xml:space="preserve"> способствует хорошему врастанию твердых</w:t>
      </w:r>
      <w:r w:rsidR="00494E99">
        <w:rPr>
          <w:sz w:val="24"/>
          <w:szCs w:val="24"/>
        </w:rPr>
        <w:t xml:space="preserve"> и мягких тканей организма [2</w:t>
      </w:r>
      <w:r w:rsidRPr="00BC0AA8">
        <w:rPr>
          <w:sz w:val="24"/>
          <w:szCs w:val="24"/>
        </w:rPr>
        <w:t>]. В то же время, введение в композит никелида титана позволяет получить новый класс материалов, обладающих высокими механическими характеристиками.</w:t>
      </w:r>
    </w:p>
    <w:p w:rsidR="008E606B" w:rsidRDefault="002626F7" w:rsidP="007D7BC6">
      <w:pPr>
        <w:ind w:firstLine="397"/>
        <w:jc w:val="both"/>
        <w:rPr>
          <w:sz w:val="24"/>
          <w:szCs w:val="24"/>
        </w:rPr>
      </w:pPr>
      <w:r w:rsidRPr="00BC0AA8">
        <w:rPr>
          <w:sz w:val="24"/>
          <w:szCs w:val="24"/>
        </w:rPr>
        <w:t>Для получения слоистого композита состоящего из ГА+ TiNi целесообразно использовать метод механоактивационной обработки (МА) как эффективный способ получе</w:t>
      </w:r>
      <w:r w:rsidR="008E606B">
        <w:rPr>
          <w:sz w:val="24"/>
          <w:szCs w:val="24"/>
        </w:rPr>
        <w:t>ния композиционных материалов [3</w:t>
      </w:r>
      <w:r w:rsidRPr="00BC0AA8">
        <w:rPr>
          <w:sz w:val="24"/>
          <w:szCs w:val="24"/>
        </w:rPr>
        <w:t xml:space="preserve">]. Однако, в процессе механической активации компонентов порошковой смеси происходит изменение структурно-напряженного состояния получаемого композиционного материала. </w:t>
      </w:r>
    </w:p>
    <w:p w:rsidR="002626F7" w:rsidRPr="00BC0AA8" w:rsidRDefault="002626F7" w:rsidP="007D7BC6">
      <w:pPr>
        <w:ind w:firstLine="397"/>
        <w:jc w:val="both"/>
        <w:rPr>
          <w:b/>
          <w:sz w:val="24"/>
          <w:szCs w:val="24"/>
        </w:rPr>
      </w:pPr>
      <w:r w:rsidRPr="00BC0AA8">
        <w:rPr>
          <w:sz w:val="24"/>
          <w:szCs w:val="24"/>
        </w:rPr>
        <w:t xml:space="preserve">Цель данной работы – определение </w:t>
      </w:r>
      <w:r w:rsidR="008E606B">
        <w:rPr>
          <w:sz w:val="24"/>
          <w:szCs w:val="24"/>
        </w:rPr>
        <w:t xml:space="preserve">оптимального </w:t>
      </w:r>
      <w:r w:rsidRPr="00BC0AA8">
        <w:rPr>
          <w:sz w:val="24"/>
          <w:szCs w:val="24"/>
        </w:rPr>
        <w:t>состава порошковой смеси «гидроксиапатит-никилид титана»</w:t>
      </w:r>
      <w:r w:rsidR="008E606B">
        <w:rPr>
          <w:sz w:val="24"/>
          <w:szCs w:val="24"/>
        </w:rPr>
        <w:t xml:space="preserve"> для дальнейшего напыления на медицинские иплантаты</w:t>
      </w:r>
      <w:r w:rsidRPr="00BC0AA8">
        <w:rPr>
          <w:sz w:val="24"/>
          <w:szCs w:val="24"/>
        </w:rPr>
        <w:t>.</w:t>
      </w:r>
    </w:p>
    <w:p w:rsidR="00D8029F" w:rsidRPr="00804522" w:rsidRDefault="00D8029F" w:rsidP="007D7BC6">
      <w:pPr>
        <w:ind w:firstLine="397"/>
        <w:jc w:val="both"/>
        <w:rPr>
          <w:sz w:val="24"/>
          <w:szCs w:val="24"/>
        </w:rPr>
      </w:pPr>
      <w:r w:rsidRPr="00804522">
        <w:rPr>
          <w:sz w:val="24"/>
          <w:szCs w:val="24"/>
        </w:rPr>
        <w:t>В экспериментальных исследованиях в качестве материала использов</w:t>
      </w:r>
      <w:r w:rsidRPr="00804522">
        <w:rPr>
          <w:sz w:val="24"/>
          <w:szCs w:val="24"/>
        </w:rPr>
        <w:t>а</w:t>
      </w:r>
      <w:r w:rsidRPr="00804522">
        <w:rPr>
          <w:sz w:val="24"/>
          <w:szCs w:val="24"/>
        </w:rPr>
        <w:t>лись порошки составов ГА +</w:t>
      </w:r>
      <w:r w:rsidRPr="00804522">
        <w:rPr>
          <w:sz w:val="24"/>
          <w:szCs w:val="24"/>
          <w:lang w:val="en-US"/>
        </w:rPr>
        <w:t>TiNi</w:t>
      </w:r>
      <w:r w:rsidRPr="00804522">
        <w:rPr>
          <w:sz w:val="24"/>
          <w:szCs w:val="24"/>
        </w:rPr>
        <w:t>. Средний размер частиц порошка гидроксиапатита кальция составляет 150-300 мкм, сре</w:t>
      </w:r>
      <w:r w:rsidRPr="00804522">
        <w:rPr>
          <w:sz w:val="24"/>
          <w:szCs w:val="24"/>
        </w:rPr>
        <w:t>д</w:t>
      </w:r>
      <w:r w:rsidRPr="00804522">
        <w:rPr>
          <w:sz w:val="24"/>
          <w:szCs w:val="24"/>
        </w:rPr>
        <w:t xml:space="preserve">ний размер частиц порошка </w:t>
      </w:r>
      <w:r w:rsidRPr="00804522">
        <w:rPr>
          <w:sz w:val="24"/>
          <w:szCs w:val="24"/>
          <w:lang w:val="en-US"/>
        </w:rPr>
        <w:t>TiNi</w:t>
      </w:r>
      <w:r w:rsidRPr="00804522">
        <w:rPr>
          <w:sz w:val="24"/>
          <w:szCs w:val="24"/>
        </w:rPr>
        <w:t xml:space="preserve"> – 50-100 мкм.</w:t>
      </w:r>
    </w:p>
    <w:p w:rsidR="00D8029F" w:rsidRDefault="00D8029F" w:rsidP="007D7BC6">
      <w:pPr>
        <w:shd w:val="clear" w:color="auto" w:fill="FFFFFF"/>
        <w:ind w:firstLine="397"/>
        <w:jc w:val="both"/>
        <w:rPr>
          <w:sz w:val="24"/>
          <w:szCs w:val="24"/>
        </w:rPr>
      </w:pPr>
      <w:r w:rsidRPr="00804522">
        <w:rPr>
          <w:sz w:val="24"/>
          <w:szCs w:val="24"/>
        </w:rPr>
        <w:t xml:space="preserve">Предварительную механическую активацию (МА) исходных смесей ГА+ </w:t>
      </w:r>
      <w:r w:rsidRPr="00804522">
        <w:rPr>
          <w:sz w:val="24"/>
          <w:szCs w:val="24"/>
          <w:lang w:val="en-US"/>
        </w:rPr>
        <w:t>TiNi</w:t>
      </w:r>
      <w:r w:rsidRPr="00804522">
        <w:rPr>
          <w:sz w:val="24"/>
          <w:szCs w:val="24"/>
        </w:rPr>
        <w:t xml:space="preserve"> в соотношении 50/50 и 70/30 (масс.,%), проводили в пла</w:t>
      </w:r>
      <w:r w:rsidR="008E606B">
        <w:rPr>
          <w:sz w:val="24"/>
          <w:szCs w:val="24"/>
        </w:rPr>
        <w:t xml:space="preserve">нетарной шаровой мельниц АГО–2 </w:t>
      </w:r>
      <w:r w:rsidRPr="00804522">
        <w:rPr>
          <w:sz w:val="24"/>
          <w:szCs w:val="24"/>
        </w:rPr>
        <w:t>с водяным охлаждением. Вр</w:t>
      </w:r>
      <w:r>
        <w:rPr>
          <w:sz w:val="24"/>
          <w:szCs w:val="24"/>
        </w:rPr>
        <w:t xml:space="preserve">емя механоактивации </w:t>
      </w:r>
      <w:r w:rsidRPr="00804522">
        <w:rPr>
          <w:sz w:val="24"/>
          <w:szCs w:val="24"/>
        </w:rPr>
        <w:t>соста</w:t>
      </w:r>
      <w:r w:rsidRPr="00804522">
        <w:rPr>
          <w:sz w:val="24"/>
          <w:szCs w:val="24"/>
        </w:rPr>
        <w:t>в</w:t>
      </w:r>
      <w:r w:rsidRPr="00804522">
        <w:rPr>
          <w:sz w:val="24"/>
          <w:szCs w:val="24"/>
        </w:rPr>
        <w:t>ляло 3, 7, 15 и 30 мин.</w:t>
      </w:r>
    </w:p>
    <w:p w:rsidR="00FC4267" w:rsidRPr="00FC4267" w:rsidRDefault="00FC4267" w:rsidP="007D7BC6">
      <w:pPr>
        <w:shd w:val="clear" w:color="auto" w:fill="FFFFFF"/>
        <w:ind w:firstLine="397"/>
        <w:jc w:val="both"/>
        <w:rPr>
          <w:sz w:val="24"/>
          <w:szCs w:val="24"/>
        </w:rPr>
      </w:pPr>
      <w:r w:rsidRPr="00FC4267">
        <w:rPr>
          <w:sz w:val="24"/>
          <w:szCs w:val="24"/>
        </w:rPr>
        <w:t>При механоактивации ГА и NiTi разных процентных составов 3 мин и 7 мин происходит перемешивание и измельчение исходных порошковых компон</w:t>
      </w:r>
      <w:r>
        <w:rPr>
          <w:sz w:val="24"/>
          <w:szCs w:val="24"/>
        </w:rPr>
        <w:t>ентов до наноразмеров (рисунок 1</w:t>
      </w:r>
      <w:r w:rsidRPr="00FC4267">
        <w:rPr>
          <w:sz w:val="24"/>
          <w:szCs w:val="24"/>
        </w:rPr>
        <w:t>). Частицы порошка равномерно распределены, формы частиц имеют сферическую форму и гладкую поверхность</w:t>
      </w:r>
    </w:p>
    <w:p w:rsidR="00FC4267" w:rsidRPr="00FC4267" w:rsidRDefault="00FC4267" w:rsidP="007D7BC6">
      <w:pPr>
        <w:shd w:val="clear" w:color="auto" w:fill="FFFFFF"/>
        <w:ind w:firstLine="397"/>
        <w:jc w:val="both"/>
        <w:rPr>
          <w:sz w:val="24"/>
          <w:szCs w:val="24"/>
        </w:rPr>
      </w:pPr>
      <w:r w:rsidRPr="00FC4267">
        <w:rPr>
          <w:sz w:val="24"/>
          <w:szCs w:val="24"/>
        </w:rPr>
        <w:t>При более длительной механоактивации (15 мин. и 30 мин.) продукт представляет собой механокомпозит ГА+TiNi, где частицы порошковой смеси конгломерируются в укруп</w:t>
      </w:r>
      <w:r>
        <w:rPr>
          <w:sz w:val="24"/>
          <w:szCs w:val="24"/>
        </w:rPr>
        <w:t>ненные образования. На рисунке 2</w:t>
      </w:r>
      <w:r w:rsidRPr="00FC4267">
        <w:rPr>
          <w:sz w:val="24"/>
          <w:szCs w:val="24"/>
        </w:rPr>
        <w:t xml:space="preserve"> приведены РЭМ-изображения механокомпозитов</w:t>
      </w:r>
      <w:r w:rsidR="005C0074">
        <w:rPr>
          <w:sz w:val="24"/>
          <w:szCs w:val="24"/>
        </w:rPr>
        <w:t xml:space="preserve"> 50ГА+50TiNi (масс.,% )</w:t>
      </w:r>
      <w:r w:rsidR="005C0074" w:rsidRPr="005C0074">
        <w:rPr>
          <w:sz w:val="24"/>
          <w:szCs w:val="24"/>
        </w:rPr>
        <w:t xml:space="preserve"> </w:t>
      </w:r>
      <w:r w:rsidR="005C0074">
        <w:rPr>
          <w:sz w:val="24"/>
          <w:szCs w:val="24"/>
        </w:rPr>
        <w:t xml:space="preserve"> и  70ГА+3</w:t>
      </w:r>
      <w:r w:rsidR="005C0074">
        <w:rPr>
          <w:sz w:val="24"/>
          <w:szCs w:val="24"/>
        </w:rPr>
        <w:t>0TiNi (масс.,% )</w:t>
      </w:r>
      <w:r w:rsidR="005C0074" w:rsidRPr="005C0074">
        <w:rPr>
          <w:sz w:val="24"/>
          <w:szCs w:val="24"/>
        </w:rPr>
        <w:t xml:space="preserve"> </w:t>
      </w:r>
      <w:r w:rsidR="005C0074">
        <w:rPr>
          <w:sz w:val="24"/>
          <w:szCs w:val="24"/>
        </w:rPr>
        <w:t xml:space="preserve"> </w:t>
      </w:r>
      <w:r w:rsidR="005C0074">
        <w:rPr>
          <w:sz w:val="24"/>
          <w:szCs w:val="24"/>
        </w:rPr>
        <w:t>при 15</w:t>
      </w:r>
      <w:r w:rsidRPr="00FC4267">
        <w:rPr>
          <w:sz w:val="24"/>
          <w:szCs w:val="24"/>
        </w:rPr>
        <w:t xml:space="preserve"> мин. МА. Основная доля частиц попадает</w:t>
      </w:r>
      <w:r w:rsidR="005C0074">
        <w:rPr>
          <w:sz w:val="24"/>
          <w:szCs w:val="24"/>
        </w:rPr>
        <w:t xml:space="preserve"> в диапазон 50-100 мкм</w:t>
      </w:r>
      <w:r w:rsidRPr="00FC4267">
        <w:rPr>
          <w:sz w:val="24"/>
          <w:szCs w:val="24"/>
        </w:rPr>
        <w:t xml:space="preserve">, средний размер частицы механокомпозита – 112,5 мкм. При 30 мин. МА  происходит значительное </w:t>
      </w:r>
      <w:r w:rsidR="005C0074">
        <w:rPr>
          <w:sz w:val="24"/>
          <w:szCs w:val="24"/>
        </w:rPr>
        <w:t>укрупнение конгломератов</w:t>
      </w:r>
      <w:r w:rsidRPr="00FC4267">
        <w:rPr>
          <w:sz w:val="24"/>
          <w:szCs w:val="24"/>
        </w:rPr>
        <w:t>, средний размер частиц составляет 196,4 мкм</w:t>
      </w:r>
    </w:p>
    <w:tbl>
      <w:tblPr>
        <w:tblW w:w="0" w:type="auto"/>
        <w:tblLook w:val="01E0" w:firstRow="1" w:lastRow="1" w:firstColumn="1" w:lastColumn="1" w:noHBand="0" w:noVBand="0"/>
      </w:tblPr>
      <w:tblGrid>
        <w:gridCol w:w="4574"/>
        <w:gridCol w:w="4610"/>
      </w:tblGrid>
      <w:tr w:rsidR="00FC4267" w:rsidRPr="005B7838" w:rsidTr="00DC2989">
        <w:tc>
          <w:tcPr>
            <w:tcW w:w="4623" w:type="dxa"/>
            <w:hideMark/>
          </w:tcPr>
          <w:p w:rsidR="00FC4267" w:rsidRPr="005B7838" w:rsidRDefault="00FC4267" w:rsidP="00DC2989">
            <w:pPr>
              <w:spacing w:line="228" w:lineRule="auto"/>
              <w:ind w:firstLine="454"/>
              <w:jc w:val="center"/>
              <w:rPr>
                <w:rFonts w:ascii="Arial" w:hAnsi="Arial" w:cs="Arial"/>
                <w:sz w:val="20"/>
                <w:szCs w:val="20"/>
              </w:rPr>
            </w:pPr>
            <w:r w:rsidRPr="005B7838">
              <w:rPr>
                <w:rFonts w:ascii="Arial" w:hAnsi="Arial" w:cs="Arial"/>
                <w:noProof/>
                <w:sz w:val="20"/>
                <w:szCs w:val="20"/>
                <w:lang w:eastAsia="ru-RU"/>
              </w:rPr>
              <w:drawing>
                <wp:inline distT="0" distB="0" distL="0" distR="0" wp14:anchorId="7C88CD16" wp14:editId="2730AE0B">
                  <wp:extent cx="2853690" cy="2140585"/>
                  <wp:effectExtent l="19050" t="0" r="3810" b="0"/>
                  <wp:docPr id="25" name="Рисунок 25" descr="9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9311"/>
                          <pic:cNvPicPr>
                            <a:picLocks noChangeAspect="1" noChangeArrowheads="1"/>
                          </pic:cNvPicPr>
                        </pic:nvPicPr>
                        <pic:blipFill>
                          <a:blip r:embed="rId5" cstate="print"/>
                          <a:srcRect/>
                          <a:stretch>
                            <a:fillRect/>
                          </a:stretch>
                        </pic:blipFill>
                        <pic:spPr bwMode="auto">
                          <a:xfrm>
                            <a:off x="0" y="0"/>
                            <a:ext cx="2853690" cy="2140585"/>
                          </a:xfrm>
                          <a:prstGeom prst="rect">
                            <a:avLst/>
                          </a:prstGeom>
                          <a:noFill/>
                          <a:ln w="9525">
                            <a:noFill/>
                            <a:miter lim="800000"/>
                            <a:headEnd/>
                            <a:tailEnd/>
                          </a:ln>
                        </pic:spPr>
                      </pic:pic>
                    </a:graphicData>
                  </a:graphic>
                </wp:inline>
              </w:drawing>
            </w:r>
          </w:p>
        </w:tc>
        <w:tc>
          <w:tcPr>
            <w:tcW w:w="4663" w:type="dxa"/>
            <w:hideMark/>
          </w:tcPr>
          <w:p w:rsidR="00FC4267" w:rsidRPr="005B7838" w:rsidRDefault="00FC4267" w:rsidP="00DC2989">
            <w:pPr>
              <w:spacing w:line="228" w:lineRule="auto"/>
              <w:ind w:firstLine="454"/>
              <w:jc w:val="center"/>
              <w:rPr>
                <w:rFonts w:ascii="Arial" w:hAnsi="Arial" w:cs="Arial"/>
                <w:sz w:val="20"/>
                <w:szCs w:val="20"/>
              </w:rPr>
            </w:pPr>
            <w:r w:rsidRPr="005B7838">
              <w:rPr>
                <w:rFonts w:ascii="Arial" w:hAnsi="Arial" w:cs="Arial"/>
                <w:noProof/>
                <w:sz w:val="20"/>
                <w:szCs w:val="20"/>
                <w:lang w:eastAsia="ru-RU"/>
              </w:rPr>
              <w:drawing>
                <wp:inline distT="0" distB="0" distL="0" distR="0" wp14:anchorId="1191A8F3" wp14:editId="1C0B3AA9">
                  <wp:extent cx="2884170" cy="2170430"/>
                  <wp:effectExtent l="19050" t="0" r="0" b="0"/>
                  <wp:docPr id="26" name="Рисунок 26" descr="9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9316"/>
                          <pic:cNvPicPr>
                            <a:picLocks noChangeAspect="1" noChangeArrowheads="1"/>
                          </pic:cNvPicPr>
                        </pic:nvPicPr>
                        <pic:blipFill>
                          <a:blip r:embed="rId6" cstate="print"/>
                          <a:srcRect/>
                          <a:stretch>
                            <a:fillRect/>
                          </a:stretch>
                        </pic:blipFill>
                        <pic:spPr bwMode="auto">
                          <a:xfrm>
                            <a:off x="0" y="0"/>
                            <a:ext cx="2884170" cy="2170430"/>
                          </a:xfrm>
                          <a:prstGeom prst="rect">
                            <a:avLst/>
                          </a:prstGeom>
                          <a:noFill/>
                          <a:ln w="9525">
                            <a:noFill/>
                            <a:miter lim="800000"/>
                            <a:headEnd/>
                            <a:tailEnd/>
                          </a:ln>
                        </pic:spPr>
                      </pic:pic>
                    </a:graphicData>
                  </a:graphic>
                </wp:inline>
              </w:drawing>
            </w:r>
          </w:p>
        </w:tc>
      </w:tr>
      <w:tr w:rsidR="00FC4267" w:rsidRPr="005B7838" w:rsidTr="00DC2989">
        <w:tc>
          <w:tcPr>
            <w:tcW w:w="4623" w:type="dxa"/>
            <w:hideMark/>
          </w:tcPr>
          <w:p w:rsidR="00FC4267" w:rsidRPr="005B7838" w:rsidRDefault="00FC4267" w:rsidP="00DC2989">
            <w:pPr>
              <w:spacing w:line="228" w:lineRule="auto"/>
              <w:ind w:firstLine="454"/>
              <w:jc w:val="center"/>
              <w:rPr>
                <w:rFonts w:ascii="Arial" w:hAnsi="Arial" w:cs="Arial"/>
                <w:sz w:val="20"/>
                <w:szCs w:val="20"/>
              </w:rPr>
            </w:pPr>
            <w:r w:rsidRPr="005B7838">
              <w:rPr>
                <w:rFonts w:ascii="Arial" w:hAnsi="Arial" w:cs="Arial"/>
                <w:sz w:val="20"/>
                <w:szCs w:val="20"/>
              </w:rPr>
              <w:t>а)</w:t>
            </w:r>
          </w:p>
        </w:tc>
        <w:tc>
          <w:tcPr>
            <w:tcW w:w="4663" w:type="dxa"/>
            <w:hideMark/>
          </w:tcPr>
          <w:p w:rsidR="00FC4267" w:rsidRPr="005B7838" w:rsidRDefault="00FC4267" w:rsidP="00DC2989">
            <w:pPr>
              <w:spacing w:line="228" w:lineRule="auto"/>
              <w:ind w:firstLine="454"/>
              <w:jc w:val="center"/>
              <w:rPr>
                <w:rFonts w:ascii="Arial" w:hAnsi="Arial" w:cs="Arial"/>
                <w:sz w:val="20"/>
                <w:szCs w:val="20"/>
              </w:rPr>
            </w:pPr>
            <w:r w:rsidRPr="005B7838">
              <w:rPr>
                <w:rFonts w:ascii="Arial" w:hAnsi="Arial" w:cs="Arial"/>
                <w:sz w:val="20"/>
                <w:szCs w:val="20"/>
              </w:rPr>
              <w:t>б)</w:t>
            </w:r>
          </w:p>
        </w:tc>
      </w:tr>
    </w:tbl>
    <w:p w:rsidR="00FC4267" w:rsidRDefault="00FC4267" w:rsidP="00FC4267">
      <w:pPr>
        <w:shd w:val="clear" w:color="auto" w:fill="FFFFFF"/>
        <w:jc w:val="center"/>
        <w:rPr>
          <w:sz w:val="24"/>
          <w:szCs w:val="24"/>
        </w:rPr>
      </w:pPr>
      <w:r w:rsidRPr="00FC4267">
        <w:rPr>
          <w:sz w:val="24"/>
          <w:szCs w:val="24"/>
        </w:rPr>
        <w:t>Рисунок 1</w:t>
      </w:r>
      <w:r w:rsidRPr="00FC4267">
        <w:rPr>
          <w:sz w:val="24"/>
          <w:szCs w:val="24"/>
        </w:rPr>
        <w:t xml:space="preserve"> – Порошковая смесь ГА+TiNi при времени механоактивации 7 мин.: </w:t>
      </w:r>
    </w:p>
    <w:p w:rsidR="00FC4267" w:rsidRPr="00FC4267" w:rsidRDefault="00FC4267" w:rsidP="00FC4267">
      <w:pPr>
        <w:shd w:val="clear" w:color="auto" w:fill="FFFFFF"/>
        <w:jc w:val="center"/>
        <w:rPr>
          <w:sz w:val="24"/>
          <w:szCs w:val="24"/>
        </w:rPr>
      </w:pPr>
      <w:r w:rsidRPr="00FC4267">
        <w:rPr>
          <w:sz w:val="24"/>
          <w:szCs w:val="24"/>
        </w:rPr>
        <w:t>а) состав 50ГА+50TiNi (масс., %); б) 70ГА+30TiNi (масс., %)</w:t>
      </w:r>
    </w:p>
    <w:p w:rsidR="00FC4267" w:rsidRDefault="00FC4267" w:rsidP="00FC4267">
      <w:pPr>
        <w:spacing w:line="228" w:lineRule="auto"/>
        <w:ind w:firstLine="454"/>
        <w:jc w:val="center"/>
        <w:rPr>
          <w:rFonts w:ascii="Arial" w:hAnsi="Arial" w:cs="Arial"/>
          <w:sz w:val="20"/>
          <w:szCs w:val="20"/>
        </w:rPr>
      </w:pPr>
    </w:p>
    <w:tbl>
      <w:tblPr>
        <w:tblW w:w="0" w:type="auto"/>
        <w:tblLook w:val="01E0" w:firstRow="1" w:lastRow="1" w:firstColumn="1" w:lastColumn="1" w:noHBand="0" w:noVBand="0"/>
      </w:tblPr>
      <w:tblGrid>
        <w:gridCol w:w="4567"/>
        <w:gridCol w:w="4617"/>
      </w:tblGrid>
      <w:tr w:rsidR="00FC4267" w:rsidRPr="005B7838" w:rsidTr="00DC2989">
        <w:tc>
          <w:tcPr>
            <w:tcW w:w="4615" w:type="dxa"/>
            <w:hideMark/>
          </w:tcPr>
          <w:p w:rsidR="00FC4267" w:rsidRPr="005B7838" w:rsidRDefault="00FC4267" w:rsidP="00DC2989">
            <w:pPr>
              <w:spacing w:line="228" w:lineRule="auto"/>
              <w:ind w:firstLine="454"/>
              <w:jc w:val="center"/>
              <w:rPr>
                <w:rFonts w:ascii="Arial" w:hAnsi="Arial" w:cs="Arial"/>
                <w:sz w:val="20"/>
                <w:szCs w:val="20"/>
              </w:rPr>
            </w:pPr>
            <w:r w:rsidRPr="005B7838">
              <w:rPr>
                <w:rFonts w:ascii="Arial" w:hAnsi="Arial" w:cs="Arial"/>
                <w:noProof/>
                <w:sz w:val="20"/>
                <w:szCs w:val="20"/>
                <w:lang w:eastAsia="ru-RU"/>
              </w:rPr>
              <w:drawing>
                <wp:inline distT="0" distB="0" distL="0" distR="0" wp14:anchorId="17A2EA3E" wp14:editId="6000FD00">
                  <wp:extent cx="2783205" cy="2070100"/>
                  <wp:effectExtent l="1905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83205" cy="2070100"/>
                          </a:xfrm>
                          <a:prstGeom prst="rect">
                            <a:avLst/>
                          </a:prstGeom>
                          <a:noFill/>
                          <a:ln w="9525">
                            <a:noFill/>
                            <a:miter lim="800000"/>
                            <a:headEnd/>
                            <a:tailEnd/>
                          </a:ln>
                        </pic:spPr>
                      </pic:pic>
                    </a:graphicData>
                  </a:graphic>
                </wp:inline>
              </w:drawing>
            </w:r>
          </w:p>
        </w:tc>
        <w:tc>
          <w:tcPr>
            <w:tcW w:w="4671" w:type="dxa"/>
            <w:hideMark/>
          </w:tcPr>
          <w:p w:rsidR="00FC4267" w:rsidRPr="005B7838" w:rsidRDefault="00FC4267" w:rsidP="00DC2989">
            <w:pPr>
              <w:spacing w:line="228" w:lineRule="auto"/>
              <w:ind w:firstLine="454"/>
              <w:jc w:val="center"/>
              <w:rPr>
                <w:rFonts w:ascii="Arial" w:hAnsi="Arial" w:cs="Arial"/>
                <w:sz w:val="20"/>
                <w:szCs w:val="20"/>
              </w:rPr>
            </w:pPr>
            <w:r w:rsidRPr="005B7838">
              <w:rPr>
                <w:rFonts w:ascii="Arial" w:hAnsi="Arial" w:cs="Arial"/>
                <w:noProof/>
                <w:sz w:val="20"/>
                <w:szCs w:val="20"/>
                <w:lang w:eastAsia="ru-RU"/>
              </w:rPr>
              <w:drawing>
                <wp:inline distT="0" distB="0" distL="0" distR="0" wp14:anchorId="20F6D6D9" wp14:editId="389D0140">
                  <wp:extent cx="2813685" cy="2099945"/>
                  <wp:effectExtent l="19050" t="0" r="571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2813685" cy="2099945"/>
                          </a:xfrm>
                          <a:prstGeom prst="rect">
                            <a:avLst/>
                          </a:prstGeom>
                          <a:noFill/>
                          <a:ln w="9525">
                            <a:noFill/>
                            <a:miter lim="800000"/>
                            <a:headEnd/>
                            <a:tailEnd/>
                          </a:ln>
                        </pic:spPr>
                      </pic:pic>
                    </a:graphicData>
                  </a:graphic>
                </wp:inline>
              </w:drawing>
            </w:r>
          </w:p>
        </w:tc>
      </w:tr>
      <w:tr w:rsidR="00FC4267" w:rsidRPr="005B7838" w:rsidTr="00DC2989">
        <w:tc>
          <w:tcPr>
            <w:tcW w:w="4615" w:type="dxa"/>
            <w:hideMark/>
          </w:tcPr>
          <w:p w:rsidR="00FC4267" w:rsidRPr="005B7838" w:rsidRDefault="00FC4267" w:rsidP="00DC2989">
            <w:pPr>
              <w:spacing w:line="228" w:lineRule="auto"/>
              <w:ind w:firstLine="454"/>
              <w:jc w:val="center"/>
              <w:rPr>
                <w:rFonts w:ascii="Arial" w:hAnsi="Arial" w:cs="Arial"/>
                <w:sz w:val="20"/>
                <w:szCs w:val="20"/>
              </w:rPr>
            </w:pPr>
            <w:r w:rsidRPr="005B7838">
              <w:rPr>
                <w:rFonts w:ascii="Arial" w:hAnsi="Arial" w:cs="Arial"/>
                <w:sz w:val="20"/>
                <w:szCs w:val="20"/>
              </w:rPr>
              <w:t>а)</w:t>
            </w:r>
          </w:p>
        </w:tc>
        <w:tc>
          <w:tcPr>
            <w:tcW w:w="4671" w:type="dxa"/>
            <w:hideMark/>
          </w:tcPr>
          <w:p w:rsidR="00FC4267" w:rsidRPr="005B7838" w:rsidRDefault="00FC4267" w:rsidP="00DC2989">
            <w:pPr>
              <w:spacing w:line="228" w:lineRule="auto"/>
              <w:ind w:firstLine="454"/>
              <w:jc w:val="center"/>
              <w:rPr>
                <w:rFonts w:ascii="Arial" w:hAnsi="Arial" w:cs="Arial"/>
                <w:sz w:val="20"/>
                <w:szCs w:val="20"/>
              </w:rPr>
            </w:pPr>
            <w:r w:rsidRPr="005B7838">
              <w:rPr>
                <w:rFonts w:ascii="Arial" w:hAnsi="Arial" w:cs="Arial"/>
                <w:sz w:val="20"/>
                <w:szCs w:val="20"/>
              </w:rPr>
              <w:t>б)</w:t>
            </w:r>
          </w:p>
        </w:tc>
      </w:tr>
    </w:tbl>
    <w:p w:rsidR="00FC4267" w:rsidRPr="00FC4267" w:rsidRDefault="00FC4267" w:rsidP="00FC4267">
      <w:pPr>
        <w:shd w:val="clear" w:color="auto" w:fill="FFFFFF"/>
        <w:jc w:val="center"/>
        <w:rPr>
          <w:sz w:val="24"/>
          <w:szCs w:val="24"/>
        </w:rPr>
      </w:pPr>
      <w:r w:rsidRPr="00FC4267">
        <w:rPr>
          <w:sz w:val="24"/>
          <w:szCs w:val="24"/>
        </w:rPr>
        <w:t>Рисунок 2</w:t>
      </w:r>
      <w:r w:rsidRPr="00FC4267">
        <w:rPr>
          <w:sz w:val="24"/>
          <w:szCs w:val="24"/>
        </w:rPr>
        <w:t xml:space="preserve"> – РЭМ-изображения механоактивированной смеси ГА/TiNi:  </w:t>
      </w:r>
    </w:p>
    <w:p w:rsidR="00FC4267" w:rsidRPr="00FC4267" w:rsidRDefault="00FC4267" w:rsidP="00FC4267">
      <w:pPr>
        <w:shd w:val="clear" w:color="auto" w:fill="FFFFFF"/>
        <w:jc w:val="center"/>
        <w:rPr>
          <w:sz w:val="24"/>
          <w:szCs w:val="24"/>
        </w:rPr>
      </w:pPr>
      <w:r w:rsidRPr="00FC4267">
        <w:rPr>
          <w:sz w:val="24"/>
          <w:szCs w:val="24"/>
        </w:rPr>
        <w:t>а – 50ГА+50TiNi (масс.,% )</w:t>
      </w:r>
      <w:r w:rsidR="00E741A8">
        <w:rPr>
          <w:sz w:val="24"/>
          <w:szCs w:val="24"/>
        </w:rPr>
        <w:t xml:space="preserve"> </w:t>
      </w:r>
      <w:r w:rsidRPr="00FC4267">
        <w:rPr>
          <w:sz w:val="24"/>
          <w:szCs w:val="24"/>
        </w:rPr>
        <w:t xml:space="preserve">время механоктивации – 15 мин, </w:t>
      </w:r>
    </w:p>
    <w:p w:rsidR="00FC4267" w:rsidRPr="00FC4267" w:rsidRDefault="00E741A8" w:rsidP="00FC4267">
      <w:pPr>
        <w:shd w:val="clear" w:color="auto" w:fill="FFFFFF"/>
        <w:jc w:val="center"/>
        <w:rPr>
          <w:sz w:val="24"/>
          <w:szCs w:val="24"/>
        </w:rPr>
      </w:pPr>
      <w:r>
        <w:rPr>
          <w:sz w:val="24"/>
          <w:szCs w:val="24"/>
        </w:rPr>
        <w:t>б – 70ГА+3</w:t>
      </w:r>
      <w:r w:rsidR="00FC4267" w:rsidRPr="00FC4267">
        <w:rPr>
          <w:sz w:val="24"/>
          <w:szCs w:val="24"/>
        </w:rPr>
        <w:t>0TiNi (масс.,%</w:t>
      </w:r>
      <w:r w:rsidR="008E606B">
        <w:rPr>
          <w:sz w:val="24"/>
          <w:szCs w:val="24"/>
        </w:rPr>
        <w:t xml:space="preserve"> )</w:t>
      </w:r>
      <w:r>
        <w:rPr>
          <w:sz w:val="24"/>
          <w:szCs w:val="24"/>
        </w:rPr>
        <w:t xml:space="preserve"> </w:t>
      </w:r>
      <w:r w:rsidR="008E606B">
        <w:rPr>
          <w:sz w:val="24"/>
          <w:szCs w:val="24"/>
        </w:rPr>
        <w:t>время механоктивации – 15</w:t>
      </w:r>
      <w:r w:rsidR="00FC4267" w:rsidRPr="00FC4267">
        <w:rPr>
          <w:sz w:val="24"/>
          <w:szCs w:val="24"/>
        </w:rPr>
        <w:t xml:space="preserve"> мин</w:t>
      </w:r>
    </w:p>
    <w:p w:rsidR="005C0074" w:rsidRDefault="005C0074" w:rsidP="007D7BC6">
      <w:pPr>
        <w:shd w:val="clear" w:color="auto" w:fill="FFFFFF"/>
        <w:ind w:firstLine="397"/>
        <w:jc w:val="both"/>
        <w:rPr>
          <w:sz w:val="24"/>
          <w:szCs w:val="24"/>
        </w:rPr>
      </w:pPr>
      <w:r w:rsidRPr="005C0074">
        <w:rPr>
          <w:sz w:val="24"/>
          <w:szCs w:val="24"/>
        </w:rPr>
        <w:t>Механокомпозиты столь больших размерных групп (более 200 мкм) при 30 мин МА не рекомендуется использовать в процессе детонационно-газового напыления по технологическим требованиям [</w:t>
      </w:r>
      <w:r w:rsidR="008E606B">
        <w:rPr>
          <w:sz w:val="24"/>
          <w:szCs w:val="24"/>
        </w:rPr>
        <w:t>2</w:t>
      </w:r>
      <w:r w:rsidRPr="005C0074">
        <w:rPr>
          <w:sz w:val="24"/>
          <w:szCs w:val="24"/>
        </w:rPr>
        <w:t>]. Поэтому наиболее рациональным временем МА смесей: 50ГА+50TiNi(масс.,%) и 70ГА+30TiNi (масс.,%) перед детонационно-газовым напылением будем считать 15 минут.</w:t>
      </w:r>
    </w:p>
    <w:p w:rsidR="008E606B" w:rsidRPr="005C0074" w:rsidRDefault="008E606B" w:rsidP="007D7BC6">
      <w:pPr>
        <w:shd w:val="clear" w:color="auto" w:fill="FFFFFF"/>
        <w:ind w:firstLine="397"/>
        <w:jc w:val="both"/>
        <w:rPr>
          <w:sz w:val="24"/>
          <w:szCs w:val="24"/>
        </w:rPr>
      </w:pPr>
      <w:r w:rsidRPr="008E606B">
        <w:rPr>
          <w:sz w:val="24"/>
          <w:szCs w:val="24"/>
        </w:rPr>
        <w:t>Работа проводи</w:t>
      </w:r>
      <w:r>
        <w:rPr>
          <w:sz w:val="24"/>
          <w:szCs w:val="24"/>
        </w:rPr>
        <w:t>лась в рамках государственного з</w:t>
      </w:r>
      <w:r w:rsidRPr="008E606B">
        <w:rPr>
          <w:sz w:val="24"/>
          <w:szCs w:val="24"/>
        </w:rPr>
        <w:t>адания (FZMM-2020-0002)</w:t>
      </w:r>
      <w:r w:rsidR="00806ECA">
        <w:rPr>
          <w:sz w:val="24"/>
          <w:szCs w:val="24"/>
        </w:rPr>
        <w:t>.</w:t>
      </w:r>
    </w:p>
    <w:p w:rsidR="00FC4267" w:rsidRPr="008E606B" w:rsidRDefault="005C0074" w:rsidP="007D7BC6">
      <w:pPr>
        <w:shd w:val="clear" w:color="auto" w:fill="FFFFFF"/>
        <w:ind w:firstLine="397"/>
        <w:jc w:val="center"/>
        <w:rPr>
          <w:b/>
          <w:sz w:val="24"/>
          <w:szCs w:val="24"/>
        </w:rPr>
      </w:pPr>
      <w:r w:rsidRPr="008E606B">
        <w:rPr>
          <w:b/>
          <w:sz w:val="24"/>
          <w:szCs w:val="24"/>
        </w:rPr>
        <w:t>Литература</w:t>
      </w:r>
    </w:p>
    <w:p w:rsidR="005C0074" w:rsidRPr="008E606B" w:rsidRDefault="00494E99" w:rsidP="007D7BC6">
      <w:pPr>
        <w:shd w:val="clear" w:color="auto" w:fill="FFFFFF"/>
        <w:ind w:firstLine="397"/>
        <w:jc w:val="both"/>
        <w:rPr>
          <w:sz w:val="24"/>
          <w:szCs w:val="24"/>
        </w:rPr>
      </w:pPr>
      <w:r w:rsidRPr="008E606B">
        <w:rPr>
          <w:sz w:val="24"/>
          <w:szCs w:val="24"/>
        </w:rPr>
        <w:t>1</w:t>
      </w:r>
      <w:r w:rsidR="005C0074" w:rsidRPr="008E606B">
        <w:rPr>
          <w:sz w:val="24"/>
          <w:szCs w:val="24"/>
        </w:rPr>
        <w:t xml:space="preserve">. Popova, A.A. Effect of particle size distribution of hydroxyapatite powder on the structure and the phase composition of coatings applied by the detonation-gas spraying [Text] / V.I. Yakovlev, E.V. Legostaeva, A.A. Sitnikov, Yu.P. Sharkeev // Russian physics journal Vol. 55 № 11, 2013 – </w:t>
      </w:r>
      <w:r w:rsidR="005C0074" w:rsidRPr="00494E99">
        <w:rPr>
          <w:sz w:val="24"/>
          <w:szCs w:val="24"/>
        </w:rPr>
        <w:t>С</w:t>
      </w:r>
      <w:r w:rsidR="005C0074" w:rsidRPr="008E606B">
        <w:rPr>
          <w:sz w:val="24"/>
          <w:szCs w:val="24"/>
        </w:rPr>
        <w:t>. 111-114.</w:t>
      </w:r>
    </w:p>
    <w:p w:rsidR="005C0074" w:rsidRPr="00494E99" w:rsidRDefault="00494E99" w:rsidP="007D7BC6">
      <w:pPr>
        <w:shd w:val="clear" w:color="auto" w:fill="FFFFFF"/>
        <w:ind w:firstLine="397"/>
        <w:jc w:val="both"/>
        <w:rPr>
          <w:sz w:val="24"/>
          <w:szCs w:val="24"/>
        </w:rPr>
      </w:pPr>
      <w:r>
        <w:rPr>
          <w:sz w:val="24"/>
          <w:szCs w:val="24"/>
        </w:rPr>
        <w:t>2</w:t>
      </w:r>
      <w:r w:rsidR="005C0074" w:rsidRPr="00494E99">
        <w:rPr>
          <w:sz w:val="24"/>
          <w:szCs w:val="24"/>
        </w:rPr>
        <w:t>. Ситников, А.А. Общая и тонкая структура детонационных биосовместимых покрытий из гидроксиапатита кальция [Текст] / А.А. Ситников, В.И. Яковлев, М.Н. Сейдуров, А.А. Попова // Ползуновский вестник. – 2010. - №4. – С. 38-40.</w:t>
      </w:r>
    </w:p>
    <w:p w:rsidR="00494E99" w:rsidRPr="00494E99" w:rsidRDefault="00494E99" w:rsidP="007D7BC6">
      <w:pPr>
        <w:shd w:val="clear" w:color="auto" w:fill="FFFFFF"/>
        <w:ind w:firstLine="397"/>
        <w:jc w:val="both"/>
        <w:rPr>
          <w:sz w:val="24"/>
          <w:szCs w:val="24"/>
        </w:rPr>
      </w:pPr>
      <w:r>
        <w:rPr>
          <w:sz w:val="24"/>
          <w:szCs w:val="24"/>
        </w:rPr>
        <w:t>3</w:t>
      </w:r>
      <w:r w:rsidRPr="00494E99">
        <w:rPr>
          <w:sz w:val="24"/>
          <w:szCs w:val="24"/>
        </w:rPr>
        <w:t>. Патент №2557924 Российская федерация. Способ получения детонационного биосовместимого покрытия на медицинский имплант [Текст] / В. И. Яковлев, (RU), А. А. Попова, (RU), А.А. Ситников, (RU), М. В. Логинова, А. В. Собачкин; заявитель и патентообладатель ФГБОУ ВПО Алт. гос. техн. ун-т. - №2014114085/15; заявл. 09.04.2014; опубл. 27.07.2015.</w:t>
      </w:r>
    </w:p>
    <w:p w:rsidR="005C0074" w:rsidRPr="008E606B" w:rsidRDefault="005C0074" w:rsidP="008E606B">
      <w:pPr>
        <w:shd w:val="clear" w:color="auto" w:fill="FFFFFF"/>
        <w:ind w:firstLine="709"/>
        <w:jc w:val="both"/>
        <w:rPr>
          <w:sz w:val="24"/>
          <w:szCs w:val="24"/>
        </w:rPr>
      </w:pPr>
    </w:p>
    <w:sectPr w:rsidR="005C0074" w:rsidRPr="008E606B" w:rsidSect="002626F7">
      <w:pgSz w:w="11906" w:h="16838" w:code="9"/>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E0233"/>
    <w:multiLevelType w:val="multilevel"/>
    <w:tmpl w:val="3C84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29F"/>
    <w:rsid w:val="00052737"/>
    <w:rsid w:val="002626F7"/>
    <w:rsid w:val="00494E99"/>
    <w:rsid w:val="005C0074"/>
    <w:rsid w:val="007D7BC6"/>
    <w:rsid w:val="00806ECA"/>
    <w:rsid w:val="008E606B"/>
    <w:rsid w:val="00A055B9"/>
    <w:rsid w:val="00BC0AA8"/>
    <w:rsid w:val="00D8029F"/>
    <w:rsid w:val="00E741A8"/>
    <w:rsid w:val="00FC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8DE0"/>
  <w15:chartTrackingRefBased/>
  <w15:docId w15:val="{710E4A7D-8F5B-4D56-BC26-BD4065D8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6F7"/>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626F7"/>
    <w:rPr>
      <w:b/>
      <w:bCs/>
    </w:rPr>
  </w:style>
  <w:style w:type="character" w:styleId="a4">
    <w:name w:val="Emphasis"/>
    <w:basedOn w:val="a0"/>
    <w:uiPriority w:val="20"/>
    <w:qFormat/>
    <w:rsid w:val="002626F7"/>
    <w:rPr>
      <w:i/>
      <w:iCs/>
    </w:rPr>
  </w:style>
  <w:style w:type="paragraph" w:styleId="a5">
    <w:name w:val="Normal (Web)"/>
    <w:basedOn w:val="a"/>
    <w:rsid w:val="00BC0AA8"/>
    <w:pPr>
      <w:suppressAutoHyphens w:val="0"/>
      <w:spacing w:before="120" w:after="120"/>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578601">
      <w:bodyDiv w:val="1"/>
      <w:marLeft w:val="0"/>
      <w:marRight w:val="0"/>
      <w:marTop w:val="0"/>
      <w:marBottom w:val="0"/>
      <w:divBdr>
        <w:top w:val="none" w:sz="0" w:space="0" w:color="auto"/>
        <w:left w:val="none" w:sz="0" w:space="0" w:color="auto"/>
        <w:bottom w:val="none" w:sz="0" w:space="0" w:color="auto"/>
        <w:right w:val="none" w:sz="0" w:space="0" w:color="auto"/>
      </w:divBdr>
    </w:div>
    <w:div w:id="1397509021">
      <w:bodyDiv w:val="1"/>
      <w:marLeft w:val="0"/>
      <w:marRight w:val="0"/>
      <w:marTop w:val="0"/>
      <w:marBottom w:val="0"/>
      <w:divBdr>
        <w:top w:val="none" w:sz="0" w:space="0" w:color="auto"/>
        <w:left w:val="none" w:sz="0" w:space="0" w:color="auto"/>
        <w:bottom w:val="none" w:sz="0" w:space="0" w:color="auto"/>
        <w:right w:val="none" w:sz="0" w:space="0" w:color="auto"/>
      </w:divBdr>
    </w:div>
    <w:div w:id="1431731270">
      <w:bodyDiv w:val="1"/>
      <w:marLeft w:val="0"/>
      <w:marRight w:val="0"/>
      <w:marTop w:val="0"/>
      <w:marBottom w:val="0"/>
      <w:divBdr>
        <w:top w:val="none" w:sz="0" w:space="0" w:color="auto"/>
        <w:left w:val="none" w:sz="0" w:space="0" w:color="auto"/>
        <w:bottom w:val="none" w:sz="0" w:space="0" w:color="auto"/>
        <w:right w:val="none" w:sz="0" w:space="0" w:color="auto"/>
      </w:divBdr>
    </w:div>
    <w:div w:id="172798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726</Words>
  <Characters>4142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Станислав</dc:creator>
  <cp:keywords/>
  <dc:description/>
  <cp:lastModifiedBy>попов Станислав</cp:lastModifiedBy>
  <cp:revision>8</cp:revision>
  <dcterms:created xsi:type="dcterms:W3CDTF">2020-11-21T06:30:00Z</dcterms:created>
  <dcterms:modified xsi:type="dcterms:W3CDTF">2020-11-21T07:47:00Z</dcterms:modified>
</cp:coreProperties>
</file>