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C4" w:rsidRPr="004F15E5" w:rsidRDefault="000E7CC4" w:rsidP="000E7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15E5">
        <w:rPr>
          <w:rFonts w:ascii="Times New Roman" w:hAnsi="Times New Roman" w:cs="Times New Roman"/>
          <w:b/>
          <w:sz w:val="24"/>
          <w:szCs w:val="28"/>
        </w:rPr>
        <w:t>Методологические подходы при мелиссопалинологических исследованиях</w:t>
      </w:r>
    </w:p>
    <w:p w:rsidR="000E7CC4" w:rsidRPr="004F15E5" w:rsidRDefault="00C75DD9" w:rsidP="000E7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F15E5">
        <w:rPr>
          <w:rFonts w:ascii="Times New Roman" w:hAnsi="Times New Roman" w:cs="Times New Roman"/>
          <w:b/>
          <w:i/>
          <w:sz w:val="24"/>
          <w:szCs w:val="28"/>
        </w:rPr>
        <w:t>Карташова Д.А.</w:t>
      </w:r>
      <w:r>
        <w:rPr>
          <w:rFonts w:ascii="Times New Roman" w:hAnsi="Times New Roman" w:cs="Times New Roman"/>
          <w:b/>
          <w:i/>
          <w:sz w:val="24"/>
          <w:szCs w:val="28"/>
        </w:rPr>
        <w:t>, Ненашева Г.И., Копытина Т.М.</w:t>
      </w:r>
    </w:p>
    <w:p w:rsidR="00025E45" w:rsidRPr="004F15E5" w:rsidRDefault="00C75DD9" w:rsidP="00025E4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С</w:t>
      </w:r>
      <w:r w:rsidRPr="004F15E5">
        <w:rPr>
          <w:rFonts w:ascii="Times New Roman" w:hAnsi="Times New Roman" w:cs="Times New Roman"/>
          <w:i/>
          <w:sz w:val="24"/>
          <w:szCs w:val="28"/>
        </w:rPr>
        <w:t>тудент</w:t>
      </w:r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8"/>
        </w:rPr>
        <w:t>д</w:t>
      </w:r>
      <w:r w:rsidR="00025E45" w:rsidRPr="004F15E5">
        <w:rPr>
          <w:rFonts w:ascii="Times New Roman" w:hAnsi="Times New Roman" w:cs="Times New Roman"/>
          <w:i/>
          <w:sz w:val="24"/>
          <w:szCs w:val="28"/>
        </w:rPr>
        <w:t>оцент кафедры</w:t>
      </w:r>
      <w:r w:rsidR="004F15E5" w:rsidRPr="004F15E5">
        <w:rPr>
          <w:rFonts w:ascii="Times New Roman" w:hAnsi="Times New Roman" w:cs="Times New Roman"/>
          <w:i/>
          <w:sz w:val="24"/>
          <w:szCs w:val="28"/>
        </w:rPr>
        <w:t xml:space="preserve"> физической географии и ГИС, кандидат географических наук, доцент кафедры бота</w:t>
      </w:r>
      <w:r>
        <w:rPr>
          <w:rFonts w:ascii="Times New Roman" w:hAnsi="Times New Roman" w:cs="Times New Roman"/>
          <w:i/>
          <w:sz w:val="24"/>
          <w:szCs w:val="28"/>
        </w:rPr>
        <w:t>ники, кандидат ботанических наук</w:t>
      </w:r>
      <w:r w:rsidR="004F15E5" w:rsidRPr="004F15E5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D17B4F" w:rsidRPr="004F15E5" w:rsidRDefault="00D17B4F" w:rsidP="00025E4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F15E5">
        <w:rPr>
          <w:rFonts w:ascii="Times New Roman" w:hAnsi="Times New Roman" w:cs="Times New Roman"/>
          <w:i/>
          <w:sz w:val="24"/>
          <w:szCs w:val="28"/>
        </w:rPr>
        <w:t xml:space="preserve">Алтайский государственный </w:t>
      </w:r>
      <w:r w:rsidR="004F15E5" w:rsidRPr="004F15E5">
        <w:rPr>
          <w:rFonts w:ascii="Times New Roman" w:hAnsi="Times New Roman" w:cs="Times New Roman"/>
          <w:i/>
          <w:sz w:val="24"/>
          <w:szCs w:val="28"/>
        </w:rPr>
        <w:t>университет,</w:t>
      </w:r>
      <w:r w:rsidRPr="004F15E5">
        <w:rPr>
          <w:rFonts w:ascii="Times New Roman" w:hAnsi="Times New Roman" w:cs="Times New Roman"/>
          <w:i/>
          <w:sz w:val="24"/>
          <w:szCs w:val="28"/>
        </w:rPr>
        <w:t xml:space="preserve"> Институт географии</w:t>
      </w:r>
      <w:r w:rsidR="00025E45" w:rsidRPr="004F15E5">
        <w:rPr>
          <w:rFonts w:ascii="Times New Roman" w:hAnsi="Times New Roman" w:cs="Times New Roman"/>
          <w:i/>
          <w:sz w:val="24"/>
          <w:szCs w:val="28"/>
        </w:rPr>
        <w:t>, Институт биологии и биотехнологий, Барнаул, Россия</w:t>
      </w:r>
    </w:p>
    <w:p w:rsidR="004F15E5" w:rsidRPr="00C75DD9" w:rsidRDefault="00C75DD9" w:rsidP="00025E4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C75DD9">
        <w:rPr>
          <w:rFonts w:ascii="Times New Roman" w:hAnsi="Times New Roman" w:cs="Times New Roman"/>
          <w:i/>
          <w:iCs/>
          <w:sz w:val="24"/>
          <w:szCs w:val="28"/>
        </w:rPr>
        <w:t>E–</w:t>
      </w:r>
      <w:proofErr w:type="spellStart"/>
      <w:r w:rsidRPr="00C75DD9">
        <w:rPr>
          <w:rFonts w:ascii="Times New Roman" w:hAnsi="Times New Roman" w:cs="Times New Roman"/>
          <w:i/>
          <w:iCs/>
          <w:sz w:val="24"/>
          <w:szCs w:val="28"/>
        </w:rPr>
        <w:t>mail</w:t>
      </w:r>
      <w:proofErr w:type="spellEnd"/>
      <w:r w:rsidRPr="00C75DD9">
        <w:rPr>
          <w:rFonts w:ascii="Times New Roman" w:hAnsi="Times New Roman" w:cs="Times New Roman"/>
          <w:i/>
          <w:iCs/>
          <w:sz w:val="24"/>
          <w:szCs w:val="28"/>
        </w:rPr>
        <w:t>:</w:t>
      </w:r>
      <w:r w:rsidRPr="00C75DD9">
        <w:rPr>
          <w:rFonts w:ascii="Times New Roman" w:hAnsi="Times New Roman" w:cs="Times New Roman"/>
          <w:iCs/>
          <w:sz w:val="24"/>
          <w:szCs w:val="28"/>
        </w:rPr>
        <w:t xml:space="preserve"> </w:t>
      </w:r>
      <w:r w:rsidRPr="00C75DD9">
        <w:rPr>
          <w:rFonts w:ascii="Times New Roman" w:hAnsi="Times New Roman" w:cs="Times New Roman"/>
          <w:i/>
          <w:sz w:val="24"/>
          <w:szCs w:val="28"/>
        </w:rPr>
        <w:t xml:space="preserve">kartashova-darya@bk.ru, </w:t>
      </w:r>
      <w:hyperlink r:id="rId6" w:history="1">
        <w:r w:rsidR="004F15E5" w:rsidRPr="00C75DD9">
          <w:rPr>
            <w:rFonts w:ascii="Times New Roman" w:hAnsi="Times New Roman" w:cs="Times New Roman"/>
            <w:i/>
            <w:sz w:val="24"/>
            <w:szCs w:val="28"/>
          </w:rPr>
          <w:t>ngi_geo@mail.ru</w:t>
        </w:r>
      </w:hyperlink>
      <w:r w:rsidR="004F15E5" w:rsidRPr="00C75DD9">
        <w:rPr>
          <w:rFonts w:ascii="Times New Roman" w:hAnsi="Times New Roman" w:cs="Times New Roman"/>
          <w:i/>
          <w:sz w:val="24"/>
          <w:szCs w:val="28"/>
        </w:rPr>
        <w:t xml:space="preserve">, </w:t>
      </w:r>
      <w:hyperlink r:id="rId7" w:history="1">
        <w:r w:rsidR="004F15E5" w:rsidRPr="00C75DD9">
          <w:rPr>
            <w:rFonts w:ascii="Times New Roman" w:hAnsi="Times New Roman" w:cs="Times New Roman"/>
            <w:i/>
            <w:sz w:val="24"/>
            <w:szCs w:val="28"/>
          </w:rPr>
          <w:t>tatkop70@mail.ru</w:t>
        </w:r>
      </w:hyperlink>
    </w:p>
    <w:p w:rsidR="004F15E5" w:rsidRPr="00C75DD9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F15E5" w:rsidRPr="004F15E5" w:rsidRDefault="006C5C78" w:rsidP="00EF4FE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Мелиссопалинология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5E5" w:rsidRPr="004F15E5">
        <w:rPr>
          <w:rFonts w:ascii="Times New Roman" w:hAnsi="Times New Roman" w:cs="Times New Roman"/>
          <w:sz w:val="24"/>
          <w:szCs w:val="24"/>
        </w:rPr>
        <w:t xml:space="preserve">изучает пыльцу, извлеченную из меда и других </w:t>
      </w:r>
      <w:proofErr w:type="spellStart"/>
      <w:r w:rsidR="004F15E5" w:rsidRPr="004F15E5">
        <w:rPr>
          <w:rFonts w:ascii="Times New Roman" w:hAnsi="Times New Roman" w:cs="Times New Roman"/>
          <w:sz w:val="24"/>
          <w:szCs w:val="24"/>
        </w:rPr>
        <w:t>пчелопродуктов</w:t>
      </w:r>
      <w:proofErr w:type="spellEnd"/>
      <w:r w:rsidR="00EF4FE7">
        <w:rPr>
          <w:rFonts w:ascii="Times New Roman" w:hAnsi="Times New Roman" w:cs="Times New Roman"/>
          <w:sz w:val="24"/>
          <w:szCs w:val="24"/>
        </w:rPr>
        <w:t xml:space="preserve"> [5]. </w:t>
      </w:r>
      <w:r w:rsidR="004F15E5" w:rsidRPr="004F15E5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 w:rsidR="004F15E5" w:rsidRPr="004F15E5">
        <w:rPr>
          <w:rFonts w:ascii="Times New Roman" w:hAnsi="Times New Roman" w:cs="Times New Roman"/>
          <w:sz w:val="24"/>
          <w:szCs w:val="24"/>
        </w:rPr>
        <w:t>мелиссопалинологическим</w:t>
      </w:r>
      <w:proofErr w:type="spellEnd"/>
      <w:r w:rsidR="004F15E5" w:rsidRPr="004F15E5">
        <w:rPr>
          <w:rFonts w:ascii="Times New Roman" w:hAnsi="Times New Roman" w:cs="Times New Roman"/>
          <w:sz w:val="24"/>
          <w:szCs w:val="24"/>
        </w:rPr>
        <w:t xml:space="preserve"> анализом ставятся следующие задачи: выявление качественного и количественного состава пыльцы в продуктах пчеловодства (обножке, перге, </w:t>
      </w:r>
      <w:proofErr w:type="spellStart"/>
      <w:r w:rsidR="004F15E5" w:rsidRPr="004F15E5">
        <w:rPr>
          <w:rFonts w:ascii="Times New Roman" w:hAnsi="Times New Roman" w:cs="Times New Roman"/>
          <w:sz w:val="24"/>
          <w:szCs w:val="24"/>
        </w:rPr>
        <w:t>ульевом</w:t>
      </w:r>
      <w:proofErr w:type="spellEnd"/>
      <w:r w:rsidR="004F15E5" w:rsidRPr="004F15E5">
        <w:rPr>
          <w:rFonts w:ascii="Times New Roman" w:hAnsi="Times New Roman" w:cs="Times New Roman"/>
          <w:sz w:val="24"/>
          <w:szCs w:val="24"/>
        </w:rPr>
        <w:t xml:space="preserve"> и бортевом мёде), установление медоносно-</w:t>
      </w:r>
      <w:proofErr w:type="spellStart"/>
      <w:r w:rsidR="004F15E5" w:rsidRPr="004F15E5">
        <w:rPr>
          <w:rFonts w:ascii="Times New Roman" w:hAnsi="Times New Roman" w:cs="Times New Roman"/>
          <w:sz w:val="24"/>
          <w:szCs w:val="24"/>
        </w:rPr>
        <w:t>перганосной</w:t>
      </w:r>
      <w:proofErr w:type="spellEnd"/>
      <w:r w:rsidR="004F15E5" w:rsidRPr="004F15E5">
        <w:rPr>
          <w:rFonts w:ascii="Times New Roman" w:hAnsi="Times New Roman" w:cs="Times New Roman"/>
          <w:sz w:val="24"/>
          <w:szCs w:val="24"/>
        </w:rPr>
        <w:t xml:space="preserve"> базы региона, идентификация ботанико-географического происхождения медов и других продуктов пчеловодства, и выявление случаев их фальсификации. Текущее состояние знаний </w:t>
      </w:r>
      <w:proofErr w:type="spellStart"/>
      <w:r w:rsidR="004F15E5" w:rsidRPr="004F15E5">
        <w:rPr>
          <w:rFonts w:ascii="Times New Roman" w:hAnsi="Times New Roman" w:cs="Times New Roman"/>
          <w:sz w:val="24"/>
          <w:szCs w:val="24"/>
        </w:rPr>
        <w:t>мелиссопалинологической</w:t>
      </w:r>
      <w:proofErr w:type="spellEnd"/>
      <w:r w:rsidR="004F15E5" w:rsidRPr="004F15E5">
        <w:rPr>
          <w:rFonts w:ascii="Times New Roman" w:hAnsi="Times New Roman" w:cs="Times New Roman"/>
          <w:sz w:val="24"/>
          <w:szCs w:val="24"/>
        </w:rPr>
        <w:t xml:space="preserve"> системы позволяет определить основные виды растений, с которых ведется сбор, составить списки медоносов и сопутствующих видов, что имеет большое практическое значение для организации и сохранения кормовой базы пчеловодства [3</w:t>
      </w:r>
      <w:r w:rsidR="00EF4FE7">
        <w:rPr>
          <w:rFonts w:ascii="Times New Roman" w:hAnsi="Times New Roman" w:cs="Times New Roman"/>
          <w:sz w:val="24"/>
          <w:szCs w:val="24"/>
        </w:rPr>
        <w:t>, 4</w:t>
      </w:r>
      <w:r w:rsidR="004F15E5" w:rsidRPr="004F15E5">
        <w:rPr>
          <w:rFonts w:ascii="Times New Roman" w:hAnsi="Times New Roman" w:cs="Times New Roman"/>
          <w:sz w:val="24"/>
          <w:szCs w:val="24"/>
        </w:rPr>
        <w:t>].</w:t>
      </w:r>
    </w:p>
    <w:p w:rsidR="004F15E5" w:rsidRPr="004F15E5" w:rsidRDefault="004F15E5" w:rsidP="004F15E5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Мелиссопалинологические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исследования проводятся в три этапа: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предполевой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, полевой и камеральный.</w:t>
      </w:r>
    </w:p>
    <w:p w:rsidR="004F15E5" w:rsidRPr="004F15E5" w:rsidRDefault="004F15E5" w:rsidP="004F15E5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4F15E5">
        <w:rPr>
          <w:rFonts w:ascii="Times New Roman" w:hAnsi="Times New Roman" w:cs="Times New Roman"/>
          <w:i/>
          <w:sz w:val="24"/>
          <w:szCs w:val="24"/>
        </w:rPr>
        <w:t>предполевого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r w:rsidRPr="004F15E5">
        <w:rPr>
          <w:rFonts w:ascii="Times New Roman" w:hAnsi="Times New Roman" w:cs="Times New Roman"/>
          <w:i/>
          <w:sz w:val="24"/>
          <w:szCs w:val="24"/>
        </w:rPr>
        <w:t>периода</w:t>
      </w:r>
      <w:r w:rsidRPr="004F15E5">
        <w:rPr>
          <w:rFonts w:ascii="Times New Roman" w:hAnsi="Times New Roman" w:cs="Times New Roman"/>
          <w:sz w:val="24"/>
          <w:szCs w:val="24"/>
        </w:rPr>
        <w:t xml:space="preserve"> собирается и анализируется литература с акцентом на регион область исследования, подготавливается исходный картографический материал. Особую роль играют определители растений, справочники, описания растительности.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i/>
          <w:sz w:val="24"/>
          <w:szCs w:val="24"/>
        </w:rPr>
        <w:t>Полевой</w:t>
      </w:r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r w:rsidRPr="004F15E5">
        <w:rPr>
          <w:rFonts w:ascii="Times New Roman" w:hAnsi="Times New Roman" w:cs="Times New Roman"/>
          <w:i/>
          <w:sz w:val="24"/>
          <w:szCs w:val="24"/>
        </w:rPr>
        <w:t>период</w:t>
      </w:r>
      <w:r w:rsidRPr="004F15E5">
        <w:rPr>
          <w:rFonts w:ascii="Times New Roman" w:hAnsi="Times New Roman" w:cs="Times New Roman"/>
          <w:sz w:val="24"/>
          <w:szCs w:val="24"/>
        </w:rPr>
        <w:t xml:space="preserve"> заключается в проведении рекогносцировки местности для выбора ключевых участков. Эти участки подлежат детальному изучению и должны охватывать всё разнообразие ландшафтов, представленных на изучаемой территории с целью их более глубокого познания и экстраполяции выявленных характеристик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менее изученные ПТК.</w:t>
      </w:r>
    </w:p>
    <w:p w:rsidR="004F15E5" w:rsidRPr="004F15E5" w:rsidRDefault="004F15E5" w:rsidP="006B770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>Полевые исследования проводятся по единой для всей экспедиции методики наблюдений и фиксации их результатов. Здесь выявляется степень соответствия картографического и иного материала и сведений, полученных из литературных и фондовых источников, действительной обстановке на местности. Уточняются границы лесных массивов, пашни, луговых угодий.</w:t>
      </w:r>
      <w:r w:rsidR="006B7701">
        <w:rPr>
          <w:rFonts w:ascii="Times New Roman" w:hAnsi="Times New Roman" w:cs="Times New Roman"/>
          <w:sz w:val="24"/>
          <w:szCs w:val="24"/>
        </w:rPr>
        <w:t xml:space="preserve"> </w:t>
      </w:r>
      <w:r w:rsidRPr="004F15E5">
        <w:rPr>
          <w:rFonts w:ascii="Times New Roman" w:hAnsi="Times New Roman" w:cs="Times New Roman"/>
          <w:sz w:val="24"/>
          <w:szCs w:val="24"/>
        </w:rPr>
        <w:t xml:space="preserve">Итогом полевых исследований являются: гербарные сборы и образцы медов районов исследований. 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i/>
          <w:sz w:val="24"/>
          <w:szCs w:val="24"/>
        </w:rPr>
        <w:t>Камеральный период</w:t>
      </w:r>
      <w:r w:rsidRPr="004F15E5">
        <w:rPr>
          <w:rFonts w:ascii="Times New Roman" w:hAnsi="Times New Roman" w:cs="Times New Roman"/>
          <w:sz w:val="24"/>
          <w:szCs w:val="24"/>
        </w:rPr>
        <w:t>. Составляется список медоносных растений на основании наблюдений посещаемости растений пчёлами и с учётом литературных данных. Выделяются группы видов растений</w:t>
      </w:r>
      <w:r w:rsidR="006B7701">
        <w:rPr>
          <w:rFonts w:ascii="Times New Roman" w:hAnsi="Times New Roman" w:cs="Times New Roman"/>
          <w:sz w:val="24"/>
          <w:szCs w:val="24"/>
        </w:rPr>
        <w:t xml:space="preserve">. </w:t>
      </w:r>
      <w:r w:rsidRPr="004F15E5">
        <w:rPr>
          <w:rFonts w:ascii="Times New Roman" w:hAnsi="Times New Roman" w:cs="Times New Roman"/>
          <w:sz w:val="24"/>
          <w:szCs w:val="24"/>
        </w:rPr>
        <w:t xml:space="preserve">Составляются характеристики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флороценотипов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мест расположения пасек. 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Камеральные исследования включают лабораторную обработку образцов для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мелиссопалинологического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анализа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i/>
          <w:sz w:val="24"/>
          <w:szCs w:val="24"/>
        </w:rPr>
        <w:t>Приготовление препаратов рецентной пыльцы</w:t>
      </w:r>
      <w:r w:rsidRPr="004F15E5">
        <w:rPr>
          <w:rFonts w:ascii="Times New Roman" w:hAnsi="Times New Roman" w:cs="Times New Roman"/>
          <w:sz w:val="24"/>
          <w:szCs w:val="24"/>
        </w:rPr>
        <w:t xml:space="preserve">. Пыльца может использоваться как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свежих, так и с гербаризированных растений. Пыльник помещают на предметное стекло, добавляют 2–3 капли 96%-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спирта с и 2–3 капли дистиллированной воды и подогревали стекло до полного исчезновения влаги. После чего пыльник разрушают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препаровальной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иглой, фиксируют пыльцу каплей 70%-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спирта, подкрашенного 1–2%-м фуксином, и заключают в глицерин-желатину. 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Для приготовления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глицерин-желатины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10 г желатина заливают 60 мл дистиллированной воды и выдерживают 2–3 ч для набухания. Затем наливают глицерин </w:t>
      </w:r>
      <w:r w:rsidRPr="004F15E5">
        <w:rPr>
          <w:rFonts w:ascii="Times New Roman" w:hAnsi="Times New Roman" w:cs="Times New Roman"/>
          <w:sz w:val="24"/>
          <w:szCs w:val="24"/>
        </w:rPr>
        <w:lastRenderedPageBreak/>
        <w:t>с растворенным в нем фенолом (0,1 г), нагревают на водяной бане и помешивают до образования однородной массы [4].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i/>
          <w:sz w:val="24"/>
          <w:szCs w:val="24"/>
        </w:rPr>
        <w:t>Приготовление препаратов из мёда</w:t>
      </w:r>
      <w:r w:rsidRPr="004F15E5">
        <w:rPr>
          <w:rFonts w:ascii="Times New Roman" w:hAnsi="Times New Roman" w:cs="Times New Roman"/>
          <w:sz w:val="24"/>
          <w:szCs w:val="24"/>
        </w:rPr>
        <w:t>. Для определения относительной частоты пыльцевых зерен в меде на этапе отбора и подготовки пробы отбирают репрезентативную пробу массой не менее 200 грамм в соответствии с ГОСТ 31766-2012 [</w:t>
      </w:r>
      <w:r w:rsidR="00EF4FE7">
        <w:rPr>
          <w:rFonts w:ascii="Times New Roman" w:hAnsi="Times New Roman" w:cs="Times New Roman"/>
          <w:sz w:val="24"/>
          <w:szCs w:val="24"/>
        </w:rPr>
        <w:t>1</w:t>
      </w:r>
      <w:r w:rsidRPr="004F15E5">
        <w:rPr>
          <w:rFonts w:ascii="Times New Roman" w:hAnsi="Times New Roman" w:cs="Times New Roman"/>
          <w:sz w:val="24"/>
          <w:szCs w:val="24"/>
        </w:rPr>
        <w:t>] и ГОСТ 19792-2001 [</w:t>
      </w:r>
      <w:r w:rsidR="00EF4FE7">
        <w:rPr>
          <w:rFonts w:ascii="Times New Roman" w:hAnsi="Times New Roman" w:cs="Times New Roman"/>
          <w:sz w:val="24"/>
          <w:szCs w:val="24"/>
        </w:rPr>
        <w:t>2</w:t>
      </w:r>
      <w:r w:rsidRPr="004F15E5">
        <w:rPr>
          <w:rFonts w:ascii="Times New Roman" w:hAnsi="Times New Roman" w:cs="Times New Roman"/>
          <w:sz w:val="24"/>
          <w:szCs w:val="24"/>
        </w:rPr>
        <w:t>]. Отобранную предварительно подготовленную пробу тщательно перемешивают в течение трех и более минут.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>На следующем этапе – 10,0±0,1 г подготовленного образца меда растворяют в 20 см</w:t>
      </w:r>
      <w:r w:rsidRPr="004F15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дистиллированной воды, нагретой до 40°С. Полученный раствор центрифугируют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в течение 10 минут (ускорение 1000 g). Затем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надосадочную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жидкость осторожно сливают, а к полученному осадку добавляют 20 см</w:t>
      </w:r>
      <w:r w:rsidRPr="004F15E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15E5">
        <w:rPr>
          <w:rFonts w:ascii="Times New Roman" w:hAnsi="Times New Roman" w:cs="Times New Roman"/>
          <w:sz w:val="24"/>
          <w:szCs w:val="24"/>
        </w:rPr>
        <w:t xml:space="preserve"> дистиллированной воды и перемешивают. После этого полученную суспензию снова центрифугируют в течение 5 минут. Вновь полученную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надосадочную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жидкость декантируют,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центрифужную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пробирку помещают на фильтровальную бумагу под углом 45° для удаления остатков жидкости. Полученный осадок тщательно перемешивают дозатором со сменным наконечником, переносят на предварительно разогретое до 40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предметное стекло и распределяют по площади 22х22 мм. Затем разогревают на водяной бане каплю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глицерин-желатины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и наносят на покровное стекло, рисуя на нем крест по диагонали для фиксации пыльцевых зерен, при этом глицерин-желатин может быть светлым или подкрашенным 0,1% спиртовым раствором фуксина. Подсушенный осадок на предметном стекле порывают покровным стеклом, и препарат снова подогревают в течение 5 минут при температуре не выше 40°С.</w:t>
      </w:r>
      <w:r w:rsidR="006B7701">
        <w:rPr>
          <w:rFonts w:ascii="Times New Roman" w:hAnsi="Times New Roman" w:cs="Times New Roman"/>
          <w:sz w:val="24"/>
          <w:szCs w:val="24"/>
        </w:rPr>
        <w:t xml:space="preserve"> </w:t>
      </w:r>
      <w:r w:rsidRPr="004F15E5">
        <w:rPr>
          <w:rFonts w:ascii="Times New Roman" w:hAnsi="Times New Roman" w:cs="Times New Roman"/>
          <w:sz w:val="24"/>
          <w:szCs w:val="24"/>
        </w:rPr>
        <w:t>Препарат готов к просмотру только после полного застывания глицеринового желатина [</w:t>
      </w:r>
      <w:r w:rsidR="006B7701">
        <w:rPr>
          <w:rFonts w:ascii="Times New Roman" w:hAnsi="Times New Roman" w:cs="Times New Roman"/>
          <w:sz w:val="24"/>
          <w:szCs w:val="24"/>
        </w:rPr>
        <w:t xml:space="preserve">1, 2, </w:t>
      </w:r>
      <w:r w:rsidRPr="004F15E5">
        <w:rPr>
          <w:rFonts w:ascii="Times New Roman" w:hAnsi="Times New Roman" w:cs="Times New Roman"/>
          <w:sz w:val="24"/>
          <w:szCs w:val="24"/>
        </w:rPr>
        <w:t>6].</w:t>
      </w:r>
    </w:p>
    <w:p w:rsidR="004F15E5" w:rsidRPr="004F15E5" w:rsidRDefault="004F15E5" w:rsidP="006B770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i/>
          <w:sz w:val="24"/>
          <w:szCs w:val="24"/>
        </w:rPr>
        <w:t>Микроскопические исследования</w:t>
      </w:r>
      <w:r w:rsidRPr="004F15E5">
        <w:rPr>
          <w:rFonts w:ascii="Times New Roman" w:hAnsi="Times New Roman" w:cs="Times New Roman"/>
          <w:sz w:val="24"/>
          <w:szCs w:val="24"/>
        </w:rPr>
        <w:t xml:space="preserve">. Каждый препарат просматривается при помощи микроскопа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Axiostar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. Те пыльцевые зерна, которые находятся в перге, не учитываются. Поля зрения равномерно распределяются по рядам. Интервал между счетными полями зависит от плотности пыльцевых зерен. В каждом ряду насчитывается не менее 100 пыльцевых зерен. Первые пять рядов распределяют равномерно по площади препарата</w:t>
      </w:r>
      <w:r w:rsidR="006B7701">
        <w:rPr>
          <w:rFonts w:ascii="Times New Roman" w:hAnsi="Times New Roman" w:cs="Times New Roman"/>
          <w:sz w:val="24"/>
          <w:szCs w:val="24"/>
        </w:rPr>
        <w:t xml:space="preserve">. </w:t>
      </w:r>
      <w:r w:rsidRPr="004F15E5">
        <w:rPr>
          <w:rFonts w:ascii="Times New Roman" w:hAnsi="Times New Roman" w:cs="Times New Roman"/>
          <w:sz w:val="24"/>
          <w:szCs w:val="24"/>
        </w:rPr>
        <w:t>Сумма подсчитанных пыльцевых зерен должна составлять не менее 1000.</w:t>
      </w:r>
      <w:r w:rsidR="006B7701">
        <w:rPr>
          <w:rFonts w:ascii="Times New Roman" w:hAnsi="Times New Roman" w:cs="Times New Roman"/>
          <w:sz w:val="24"/>
          <w:szCs w:val="24"/>
        </w:rPr>
        <w:t xml:space="preserve"> </w:t>
      </w:r>
      <w:r w:rsidRPr="004F15E5">
        <w:rPr>
          <w:rFonts w:ascii="Times New Roman" w:hAnsi="Times New Roman" w:cs="Times New Roman"/>
          <w:sz w:val="24"/>
          <w:szCs w:val="24"/>
        </w:rPr>
        <w:t>Для идентификации пыльцы медоносных растений использ</w:t>
      </w:r>
      <w:r w:rsidR="006B7701">
        <w:rPr>
          <w:rFonts w:ascii="Times New Roman" w:hAnsi="Times New Roman" w:cs="Times New Roman"/>
          <w:sz w:val="24"/>
          <w:szCs w:val="24"/>
        </w:rPr>
        <w:t>уются</w:t>
      </w:r>
      <w:r w:rsidRPr="004F15E5">
        <w:rPr>
          <w:rFonts w:ascii="Times New Roman" w:hAnsi="Times New Roman" w:cs="Times New Roman"/>
          <w:sz w:val="24"/>
          <w:szCs w:val="24"/>
        </w:rPr>
        <w:t xml:space="preserve"> эталонные препараты рецентной пыльцы, зерна дифференцируются по возможности до рода</w:t>
      </w:r>
      <w:r w:rsidR="006B7701" w:rsidRPr="006B7701">
        <w:rPr>
          <w:rFonts w:ascii="Times New Roman" w:hAnsi="Times New Roman" w:cs="Times New Roman"/>
          <w:sz w:val="24"/>
          <w:szCs w:val="24"/>
        </w:rPr>
        <w:t xml:space="preserve"> [</w:t>
      </w:r>
      <w:r w:rsidR="006B7701">
        <w:rPr>
          <w:rFonts w:ascii="Times New Roman" w:hAnsi="Times New Roman" w:cs="Times New Roman"/>
          <w:sz w:val="24"/>
          <w:szCs w:val="24"/>
        </w:rPr>
        <w:t>6</w:t>
      </w:r>
      <w:r w:rsidR="006B7701" w:rsidRPr="006B7701">
        <w:rPr>
          <w:rFonts w:ascii="Times New Roman" w:hAnsi="Times New Roman" w:cs="Times New Roman"/>
          <w:sz w:val="24"/>
          <w:szCs w:val="24"/>
        </w:rPr>
        <w:t>]</w:t>
      </w:r>
      <w:r w:rsidRPr="004F15E5">
        <w:rPr>
          <w:rFonts w:ascii="Times New Roman" w:hAnsi="Times New Roman" w:cs="Times New Roman"/>
          <w:sz w:val="24"/>
          <w:szCs w:val="24"/>
        </w:rPr>
        <w:t>.</w:t>
      </w:r>
    </w:p>
    <w:p w:rsidR="004F15E5" w:rsidRP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F15E5" w:rsidRDefault="004F15E5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Мелиссопалинологический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метод анализа представляет собой важный инструмент, используемый при решении целого ряда задач, связанных с определением ботанико-географического происхождения мёда и других продуктов пчеловодства и оценки кормовой базы территории исследования.</w:t>
      </w:r>
    </w:p>
    <w:p w:rsidR="00EF4FE7" w:rsidRPr="004F15E5" w:rsidRDefault="00EF4FE7" w:rsidP="004F15E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F15E5" w:rsidRDefault="00EF4FE7" w:rsidP="00EF4FE7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F4FE7" w:rsidRPr="004F15E5" w:rsidRDefault="00EF4FE7" w:rsidP="00EF4FE7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FE7" w:rsidRPr="004F15E5" w:rsidRDefault="00EF4FE7" w:rsidP="00EF4FE7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ГОСТ 31766-2012 Меды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монофлорные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. Технические условия –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Введ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. 2013-07-01. – М.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Стандартинформ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, 2013. – 18 с.</w:t>
      </w:r>
    </w:p>
    <w:p w:rsidR="00EF4FE7" w:rsidRPr="00EF4FE7" w:rsidRDefault="00EF4FE7" w:rsidP="00EF4FE7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ГОСТ 19792-2001 Мед натуральный. Технические условия –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Введ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. 2002-06-30. – М.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Стандартинформ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, 2011. – 15 с. </w:t>
      </w:r>
    </w:p>
    <w:p w:rsidR="00EF4FE7" w:rsidRPr="00EF4FE7" w:rsidRDefault="00EF4FE7" w:rsidP="00EF4FE7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Курманов Р.Г.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Мелиссопалинологический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анализ медовых ресурсов заповедника «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» / Р.Г. Курманов, Р.Р.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, А.Я.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// Аграрная Россия. Спец.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., 2009. – С. 42– 43.</w:t>
      </w:r>
    </w:p>
    <w:p w:rsidR="004F15E5" w:rsidRPr="00EF4FE7" w:rsidRDefault="004F15E5" w:rsidP="004F15E5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Курманов, Р.Г. </w:t>
      </w:r>
      <w:r w:rsidRPr="004F15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Мелиссопалинология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/ Р.Г. Курманов, А.Р.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Ишбирдин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. – Уфа: РИЦ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БашГУ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, 2014. – 128 с.</w:t>
      </w:r>
    </w:p>
    <w:p w:rsidR="00EF4FE7" w:rsidRPr="00EF4FE7" w:rsidRDefault="00EF4FE7" w:rsidP="00EF4FE7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Ненашева Г.И.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Аэропалинологический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 xml:space="preserve"> мониторинг аллергенных растений г. Барнаула : монография / Ин-т вод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экол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. проблем СО РАН. Новосибирск, 2013. 132 с.</w:t>
      </w:r>
    </w:p>
    <w:p w:rsidR="004F15E5" w:rsidRPr="006B7701" w:rsidRDefault="004F15E5" w:rsidP="004F15E5">
      <w:pPr>
        <w:pStyle w:val="a4"/>
        <w:widowControl w:val="0"/>
        <w:numPr>
          <w:ilvl w:val="0"/>
          <w:numId w:val="1"/>
        </w:numPr>
        <w:tabs>
          <w:tab w:val="left" w:pos="180"/>
          <w:tab w:val="left" w:pos="720"/>
          <w:tab w:val="left" w:pos="900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F15E5">
        <w:rPr>
          <w:rFonts w:ascii="Times New Roman" w:hAnsi="Times New Roman" w:cs="Times New Roman"/>
          <w:sz w:val="24"/>
          <w:szCs w:val="24"/>
        </w:rPr>
        <w:t xml:space="preserve">Справочник по </w:t>
      </w:r>
      <w:proofErr w:type="gramStart"/>
      <w:r w:rsidRPr="004F15E5">
        <w:rPr>
          <w:rFonts w:ascii="Times New Roman" w:hAnsi="Times New Roman" w:cs="Times New Roman"/>
          <w:sz w:val="24"/>
          <w:szCs w:val="24"/>
        </w:rPr>
        <w:t>ботанической</w:t>
      </w:r>
      <w:proofErr w:type="gramEnd"/>
      <w:r w:rsidRPr="004F1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5E5">
        <w:rPr>
          <w:rFonts w:ascii="Times New Roman" w:hAnsi="Times New Roman" w:cs="Times New Roman"/>
          <w:sz w:val="24"/>
          <w:szCs w:val="24"/>
        </w:rPr>
        <w:t>микротехнике</w:t>
      </w:r>
      <w:proofErr w:type="spellEnd"/>
      <w:r w:rsidRPr="004F15E5">
        <w:rPr>
          <w:rFonts w:ascii="Times New Roman" w:hAnsi="Times New Roman" w:cs="Times New Roman"/>
          <w:sz w:val="24"/>
          <w:szCs w:val="24"/>
        </w:rPr>
        <w:t>. Основы и методы / Р. Барыкина, Т. Веселова, А. Девятов и др. – М.: Изд-во Московского ун-та, 2004. – 312 с.</w:t>
      </w:r>
    </w:p>
    <w:sectPr w:rsidR="004F15E5" w:rsidRPr="006B7701" w:rsidSect="000E7CC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E0AAD"/>
    <w:multiLevelType w:val="hybridMultilevel"/>
    <w:tmpl w:val="E71229E2"/>
    <w:lvl w:ilvl="0" w:tplc="303A8FD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AF"/>
    <w:rsid w:val="00025E45"/>
    <w:rsid w:val="000E7CC4"/>
    <w:rsid w:val="004F15E5"/>
    <w:rsid w:val="006B7701"/>
    <w:rsid w:val="006C5C78"/>
    <w:rsid w:val="00713746"/>
    <w:rsid w:val="00C75DD9"/>
    <w:rsid w:val="00D17B4F"/>
    <w:rsid w:val="00E537AF"/>
    <w:rsid w:val="00EF14AD"/>
    <w:rsid w:val="00E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C4"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5E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15E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F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75D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C4"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5E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15E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F1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75D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tkop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i_ge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2020-11-22T03:06:00Z</dcterms:created>
  <dcterms:modified xsi:type="dcterms:W3CDTF">2020-11-22T07:09:00Z</dcterms:modified>
</cp:coreProperties>
</file>