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4461" w:rsidP="00C15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4461">
        <w:rPr>
          <w:rFonts w:ascii="Times New Roman" w:hAnsi="Times New Roman" w:cs="Times New Roman"/>
          <w:b/>
          <w:sz w:val="24"/>
          <w:szCs w:val="24"/>
        </w:rPr>
        <w:t>Мягкая сила Турции</w:t>
      </w:r>
    </w:p>
    <w:p w:rsidR="002E4461" w:rsidRDefault="002E4461" w:rsidP="00C152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E4461">
        <w:rPr>
          <w:rFonts w:ascii="Times New Roman" w:hAnsi="Times New Roman" w:cs="Times New Roman"/>
          <w:b/>
          <w:i/>
          <w:sz w:val="24"/>
          <w:szCs w:val="24"/>
        </w:rPr>
        <w:t>Манаева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К.А.</w:t>
      </w:r>
    </w:p>
    <w:p w:rsidR="002E4461" w:rsidRDefault="002E4461" w:rsidP="00C1527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Студент </w:t>
      </w:r>
    </w:p>
    <w:p w:rsidR="002E4461" w:rsidRDefault="002E4461" w:rsidP="00C1527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 гуманитарный факультет, Ульяновск, Россия</w:t>
      </w:r>
    </w:p>
    <w:p w:rsidR="002E4461" w:rsidRDefault="002E4461" w:rsidP="00C1527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2E4461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mai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manaeva</w:t>
      </w:r>
      <w:proofErr w:type="spellEnd"/>
      <w:r w:rsidRPr="002E4461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ksyushenka</w:t>
      </w:r>
      <w:proofErr w:type="spellEnd"/>
      <w:r w:rsidRPr="002E4461">
        <w:rPr>
          <w:rFonts w:ascii="Times New Roman" w:hAnsi="Times New Roman" w:cs="Times New Roman"/>
          <w:i/>
          <w:sz w:val="24"/>
          <w:szCs w:val="24"/>
        </w:rPr>
        <w:t>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2E4461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E23A16" w:rsidRDefault="00C1527E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1527E">
        <w:rPr>
          <w:rFonts w:ascii="Times New Roman" w:hAnsi="Times New Roman" w:cs="Times New Roman"/>
          <w:sz w:val="24"/>
          <w:szCs w:val="24"/>
        </w:rPr>
        <w:t>Мягкая сила – это особый тип внешнеполитической деятельности, связанный с распространением влияния одного государства на другие через средства массовой коммуникации, популярную и высокую культуру, предоставление услуг образования, благоприятную экономическую среду, распространение привлекательных гуманитарных и политических идеалов, собственной оригинальной системы ценностей, которую хотели бы импортировать другие субъекты международных отношений. В настоящее время Турция выдвинула концепцию «невидимой силы», которая является национальным вариантом рецепции понятия «мягкая сила» и используется для достижения внешнеполитических успехов за счет гуманитарного и дипломатического воздействия. Как отмечается отечественными экспертами, «концепт “мягкой силы” Анкары можно рассматривать как результат синтеза различных подходов, составляющих теоретическую базу современной внешней политики, которая постоянно расширяется и усложняется по мере разработки новых идей».</w:t>
      </w:r>
    </w:p>
    <w:p w:rsidR="006F15C3" w:rsidRDefault="006F15C3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F15C3">
        <w:rPr>
          <w:rFonts w:ascii="Times New Roman" w:hAnsi="Times New Roman" w:cs="Times New Roman"/>
          <w:sz w:val="24"/>
          <w:szCs w:val="24"/>
        </w:rPr>
        <w:t>Основное направление «мягкой силы» современной Турции – это  политическая унификация и интеграция тюркской культуры на основе турецкой. Она осуществляется через языковые реформы в Азербайджане и Казахстане [3].</w:t>
      </w:r>
    </w:p>
    <w:p w:rsidR="00A4355A" w:rsidRP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>Ключевыми ведомствами и институтами Турции, реализующими и координирующими деятельность в области «мягкой силы», являются Министерство иностранных дел, Министерство туризма и культуры, Министерство общественной дипломатии, Турецкое агентство по международному сотрудничеству и развитию (TIKA), Турецкая телерадиокомпания (TRT), Турецкий Красный Полумесяц (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Kizilay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), Фонд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Юнуса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Эмре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. Особенностью является то, что Турция использует для реализации политики «мягкой силы» не только национальные институты, но стремится к созданию межгосударственных объединений. Турецкое агентство по международному сотрудничеству и развитию (TIKA) является государственным институтом и  рассматривается как инструмент внешней политики для приложения совместных усилий на Ближнем Востоке, на Кавказе, в Центральной Азии, на Балканах и в Африке. TIKA реализует проекты в сфере образования, здравоохранения, сельскохозяйственного развития, туризма и промышленности.   </w:t>
      </w:r>
    </w:p>
    <w:p w:rsidR="006F15C3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 xml:space="preserve">В реализации «мягкой силы» также участвуют НПО и </w:t>
      </w:r>
      <w:proofErr w:type="spellStart"/>
      <w:proofErr w:type="gramStart"/>
      <w:r w:rsidRPr="00A4355A">
        <w:rPr>
          <w:rFonts w:ascii="Times New Roman" w:hAnsi="Times New Roman" w:cs="Times New Roman"/>
          <w:sz w:val="24"/>
          <w:szCs w:val="24"/>
        </w:rPr>
        <w:t>бизнес-организации</w:t>
      </w:r>
      <w:proofErr w:type="spellEnd"/>
      <w:proofErr w:type="gramEnd"/>
      <w:r w:rsidRPr="00A4355A">
        <w:rPr>
          <w:rFonts w:ascii="Times New Roman" w:hAnsi="Times New Roman" w:cs="Times New Roman"/>
          <w:sz w:val="24"/>
          <w:szCs w:val="24"/>
        </w:rPr>
        <w:t>, например, Союз торговых палат и товарных бирж Турции (TOBB) и Конфедерация промышленников и предпринимателей Турции (TUSKON), которые работают в соседних регионах [4].</w:t>
      </w:r>
    </w:p>
    <w:p w:rsid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>Были созданы следующие организации и проекты, направленные на продвижение положительного образа страны в мире: международная организация тюркской культуры (ТЮРКСОЙ). Проект «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Тюрковидение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» — турецкий аналог конкурса «Евровидение» — предоставляет площадку для выступления исполнителей из различных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тюркоязычных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 стран и регионов. Двусторонние договоры для создания  ключевых каналов межгосударственного сотрудничества: соглашения о стратегическом партнерстве с Казахстаном (2009) и Азербайджаном (2010). Для системной работы была создана специальная международная организация — Парламентская ассамблея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тюркоязычных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 стран (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ТюркПА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>) со штаб-квартирой в Баку [3].</w:t>
      </w:r>
    </w:p>
    <w:p w:rsid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 xml:space="preserve">В качестве инструмента «мягкой силы» Турция использует публичную дипломатию. Для наращивания политического диалога,  экономической взаимозависимости и культурного согласия с соседними и сопредельными странами используется политика «ноль проблем с соседями».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Ахметом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Давутогл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 считает, что эта политика способна </w:t>
      </w:r>
      <w:r w:rsidRPr="00A4355A">
        <w:rPr>
          <w:rFonts w:ascii="Times New Roman" w:hAnsi="Times New Roman" w:cs="Times New Roman"/>
          <w:sz w:val="24"/>
          <w:szCs w:val="24"/>
        </w:rPr>
        <w:lastRenderedPageBreak/>
        <w:t>влиять на трансформационные процессы на Ближнем Востоке. Турция стала реализовывать инициативную и миротворческую дипломатию для формирования привлекательного имиджа «мудрой страны» и создания рычагов влияния в соседних регионах. Благодаря дипломатии Турция может принимать участие в международных организациях.  Также одним из инструментов «мягкой силы» является гуманитарная помощь [2].</w:t>
      </w:r>
    </w:p>
    <w:p w:rsidR="00A4355A" w:rsidRP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 xml:space="preserve">Важным инструментом «мягкой силы» Турции являются подписанные соглашения о стратегическом партнерстве. Например: 1. Соглашение о стратегическом партнерстве между Турцией и Казахстаном (2009 г.). Партнерство с Казахстаном направлено на развитие сотрудничества между странами в различных областях, в том числе посредством создания межгосударственных учреждений, совместную работу по дальнейшей интеграции </w:t>
      </w:r>
      <w:proofErr w:type="spellStart"/>
      <w:r w:rsidRPr="00A4355A">
        <w:rPr>
          <w:rFonts w:ascii="Times New Roman" w:hAnsi="Times New Roman" w:cs="Times New Roman"/>
          <w:sz w:val="24"/>
          <w:szCs w:val="24"/>
        </w:rPr>
        <w:t>тюркоязычных</w:t>
      </w:r>
      <w:proofErr w:type="spellEnd"/>
      <w:r w:rsidRPr="00A4355A">
        <w:rPr>
          <w:rFonts w:ascii="Times New Roman" w:hAnsi="Times New Roman" w:cs="Times New Roman"/>
          <w:sz w:val="24"/>
          <w:szCs w:val="24"/>
        </w:rPr>
        <w:t xml:space="preserve"> государств. </w:t>
      </w:r>
    </w:p>
    <w:p w:rsidR="00A4355A" w:rsidRP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 xml:space="preserve">2. Соглашение о стратегическом партнерстве и взаимопомощи между Турцией и Азербайджаном (2010 г.). Партнерство Турции и Азербайджана охватывает военные аспекты, вопросы безопасности, гуманитарные вопросы, экономическое сотрудничество. </w:t>
      </w:r>
    </w:p>
    <w:p w:rsidR="00A4355A" w:rsidRP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 xml:space="preserve">3. Подписание с Бразилией Плана действий по стратегическому партнерству, а также шесть соглашений, направленных на укрепление законодательной базы сотрудничества между странами, что свидетельствует о стремлении продвигать свое влияние и в латиноамериканском регионе. </w:t>
      </w:r>
    </w:p>
    <w:p w:rsidR="00A4355A" w:rsidRDefault="00A4355A" w:rsidP="00A4355A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>На основе этих соглашений были созданы специальные межправительственные органы — Советы высокого уровня по стратегическому сотрудничеству, призванные служить ключевым механизмом для реализации партнерств [4].</w:t>
      </w:r>
    </w:p>
    <w:p w:rsidR="00A4355A" w:rsidRDefault="00A4355A" w:rsidP="00ED1C32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355A">
        <w:rPr>
          <w:rFonts w:ascii="Times New Roman" w:hAnsi="Times New Roman" w:cs="Times New Roman"/>
          <w:sz w:val="24"/>
          <w:szCs w:val="24"/>
        </w:rPr>
        <w:t>Можно выделить ряд направлений «мягкой силы» в современной Турции:</w:t>
      </w:r>
      <w:r w:rsidR="00ED1C32" w:rsidRPr="00A4355A">
        <w:rPr>
          <w:rFonts w:ascii="Times New Roman" w:hAnsi="Times New Roman" w:cs="Times New Roman"/>
          <w:sz w:val="24"/>
          <w:szCs w:val="24"/>
        </w:rPr>
        <w:t xml:space="preserve"> </w:t>
      </w:r>
      <w:r w:rsidRPr="00A4355A">
        <w:rPr>
          <w:rFonts w:ascii="Times New Roman" w:hAnsi="Times New Roman" w:cs="Times New Roman"/>
          <w:sz w:val="24"/>
          <w:szCs w:val="24"/>
        </w:rPr>
        <w:t>Турецкий кинематограф</w:t>
      </w:r>
      <w:r w:rsidR="00ED1C32">
        <w:rPr>
          <w:rFonts w:ascii="Times New Roman" w:hAnsi="Times New Roman" w:cs="Times New Roman"/>
          <w:sz w:val="24"/>
          <w:szCs w:val="24"/>
        </w:rPr>
        <w:t>, туристический кластер, о</w:t>
      </w:r>
      <w:r w:rsidRPr="00A4355A">
        <w:rPr>
          <w:rFonts w:ascii="Times New Roman" w:hAnsi="Times New Roman" w:cs="Times New Roman"/>
          <w:sz w:val="24"/>
          <w:szCs w:val="24"/>
        </w:rPr>
        <w:t>бразовательные программы</w:t>
      </w:r>
      <w:r w:rsidR="00ED1C32">
        <w:rPr>
          <w:rFonts w:ascii="Times New Roman" w:hAnsi="Times New Roman" w:cs="Times New Roman"/>
          <w:sz w:val="24"/>
          <w:szCs w:val="24"/>
        </w:rPr>
        <w:t>, к</w:t>
      </w:r>
      <w:r w:rsidRPr="00A4355A">
        <w:rPr>
          <w:rFonts w:ascii="Times New Roman" w:hAnsi="Times New Roman" w:cs="Times New Roman"/>
          <w:sz w:val="24"/>
          <w:szCs w:val="24"/>
        </w:rPr>
        <w:t>ультурные связи[3].</w:t>
      </w:r>
    </w:p>
    <w:p w:rsidR="00E47FCA" w:rsidRDefault="00E47FCA" w:rsidP="00E73BB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47FCA">
        <w:rPr>
          <w:rFonts w:ascii="Times New Roman" w:hAnsi="Times New Roman" w:cs="Times New Roman"/>
          <w:sz w:val="24"/>
          <w:szCs w:val="24"/>
        </w:rPr>
        <w:t xml:space="preserve">Таким образом, можно сделать вывод, что основное направление  «мягкой силы» современной Турции заключается в политической интеграции </w:t>
      </w:r>
      <w:r w:rsidR="00E73BB0">
        <w:rPr>
          <w:rFonts w:ascii="Times New Roman" w:hAnsi="Times New Roman" w:cs="Times New Roman"/>
          <w:sz w:val="24"/>
          <w:szCs w:val="24"/>
        </w:rPr>
        <w:t xml:space="preserve">и унификации тюркской культуры. </w:t>
      </w:r>
      <w:r w:rsidRPr="00E47FCA">
        <w:rPr>
          <w:rFonts w:ascii="Times New Roman" w:hAnsi="Times New Roman" w:cs="Times New Roman"/>
          <w:sz w:val="24"/>
          <w:szCs w:val="24"/>
        </w:rPr>
        <w:t>Основываясь на результаты Международной консалтинговой компанией "</w:t>
      </w:r>
      <w:proofErr w:type="spellStart"/>
      <w:r w:rsidRPr="00E47FCA">
        <w:rPr>
          <w:rFonts w:ascii="Times New Roman" w:hAnsi="Times New Roman" w:cs="Times New Roman"/>
          <w:sz w:val="24"/>
          <w:szCs w:val="24"/>
        </w:rPr>
        <w:t>Portland</w:t>
      </w:r>
      <w:proofErr w:type="spellEnd"/>
      <w:r w:rsidRPr="00E47FCA">
        <w:rPr>
          <w:rFonts w:ascii="Times New Roman" w:hAnsi="Times New Roman" w:cs="Times New Roman"/>
          <w:sz w:val="24"/>
          <w:szCs w:val="24"/>
        </w:rPr>
        <w:t>" Турецкая Республика в 2015 г.  страна заняла 28-е место и попала в рейтинг. В 2016 г. Турция заняла 32-е место и не попала в этот рейтинг, но осталась сильнейшим государством региона с точки зрения мягкой силы. А в 2019 г. Турция заняла 29-е место и смогла вернуться в рейтинг. Можно сказать, что публичная дипломатия Турции достигает своей цели и способствует  формированию позитивного имиджа страны.</w:t>
      </w:r>
    </w:p>
    <w:p w:rsidR="00A4355A" w:rsidRPr="00C1527E" w:rsidRDefault="00A4355A" w:rsidP="00E73BB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E23A16" w:rsidRPr="00E23A16" w:rsidRDefault="00E23A16" w:rsidP="00C1527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A16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E23A16" w:rsidRPr="00E23A16" w:rsidRDefault="00E23A16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3A16">
        <w:rPr>
          <w:rFonts w:ascii="Times New Roman" w:hAnsi="Times New Roman" w:cs="Times New Roman"/>
          <w:sz w:val="24"/>
          <w:szCs w:val="24"/>
        </w:rPr>
        <w:t>1.</w:t>
      </w:r>
      <w:r w:rsidRPr="00E23A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Аватков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Бадранов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А.Ш. "Мягкая сила" Турции во внутренней политике России / В.А.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Аватков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, А.Ш.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Бадранов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// Право и управление. ХХ</w:t>
      </w:r>
      <w:proofErr w:type="gramStart"/>
      <w:r w:rsidRPr="00E23A16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23A16">
        <w:rPr>
          <w:rFonts w:ascii="Times New Roman" w:hAnsi="Times New Roman" w:cs="Times New Roman"/>
          <w:sz w:val="24"/>
          <w:szCs w:val="24"/>
        </w:rPr>
        <w:t>. - 2013. - № 2(27). - С. 5-11.</w:t>
      </w:r>
    </w:p>
    <w:p w:rsidR="00E23A16" w:rsidRPr="00E23A16" w:rsidRDefault="00E23A16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3A16">
        <w:rPr>
          <w:rFonts w:ascii="Times New Roman" w:hAnsi="Times New Roman" w:cs="Times New Roman"/>
          <w:sz w:val="24"/>
          <w:szCs w:val="24"/>
        </w:rPr>
        <w:t>2.</w:t>
      </w:r>
      <w:r w:rsidRPr="00E23A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Алексанян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Л.М. Роль публичной дипломатии во внешней политике Турции в отношении Грузии // Проблемы постсоветского пространства. 2018;5(4). – С. 418-428.</w:t>
      </w:r>
    </w:p>
    <w:p w:rsidR="00E23A16" w:rsidRPr="00E23A16" w:rsidRDefault="00E23A16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3A16">
        <w:rPr>
          <w:rFonts w:ascii="Times New Roman" w:hAnsi="Times New Roman" w:cs="Times New Roman"/>
          <w:sz w:val="24"/>
          <w:szCs w:val="24"/>
        </w:rPr>
        <w:t>3.</w:t>
      </w:r>
      <w:r w:rsidRPr="00E23A16">
        <w:rPr>
          <w:rFonts w:ascii="Times New Roman" w:hAnsi="Times New Roman" w:cs="Times New Roman"/>
          <w:sz w:val="24"/>
          <w:szCs w:val="24"/>
        </w:rPr>
        <w:tab/>
        <w:t xml:space="preserve"> Алиева А. И. «Мягкая сила» в современной внешней политике Турции //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Вестн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>. ун-та. Сер. 25: Международные отношения и мировая политика. 2014. № 3. С. 63–94.</w:t>
      </w:r>
    </w:p>
    <w:p w:rsidR="00E23A16" w:rsidRPr="00E23A16" w:rsidRDefault="00E23A16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3A16">
        <w:rPr>
          <w:rFonts w:ascii="Times New Roman" w:hAnsi="Times New Roman" w:cs="Times New Roman"/>
          <w:sz w:val="24"/>
          <w:szCs w:val="24"/>
        </w:rPr>
        <w:t>4.</w:t>
      </w:r>
      <w:r w:rsidRPr="00E23A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Сафонкина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Е. А. Турция как новый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актор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политики «мягкой силы» // Вестник международных организаций. 2014. Т. 9. № 2. С. 145–166.</w:t>
      </w:r>
    </w:p>
    <w:p w:rsidR="00E23A16" w:rsidRPr="00E23A16" w:rsidRDefault="00E23A16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3A16">
        <w:rPr>
          <w:rFonts w:ascii="Times New Roman" w:hAnsi="Times New Roman" w:cs="Times New Roman"/>
          <w:sz w:val="24"/>
          <w:szCs w:val="24"/>
        </w:rPr>
        <w:t>5.</w:t>
      </w:r>
      <w:r w:rsidRPr="00E23A16">
        <w:rPr>
          <w:rFonts w:ascii="Times New Roman" w:hAnsi="Times New Roman" w:cs="Times New Roman"/>
          <w:sz w:val="24"/>
          <w:szCs w:val="24"/>
        </w:rPr>
        <w:tab/>
        <w:t xml:space="preserve">5. Стародубцев И.И. Институт Ближнего Востока. Турецкая мягкая сила и Центральная Азия. [Электронный ресурс] //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информ</w:t>
      </w:r>
      <w:proofErr w:type="gramStart"/>
      <w:r w:rsidRPr="00E23A16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23A16">
        <w:rPr>
          <w:rFonts w:ascii="Times New Roman" w:hAnsi="Times New Roman" w:cs="Times New Roman"/>
          <w:sz w:val="24"/>
          <w:szCs w:val="24"/>
        </w:rPr>
        <w:t>справочный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портал. 2016. http://www.iimes.ru/?p=28700 (дата обращения: 29.10.2020) </w:t>
      </w:r>
    </w:p>
    <w:p w:rsidR="002E4461" w:rsidRPr="00E23A16" w:rsidRDefault="00E23A16" w:rsidP="00C1527E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23A16">
        <w:rPr>
          <w:rFonts w:ascii="Times New Roman" w:hAnsi="Times New Roman" w:cs="Times New Roman"/>
          <w:sz w:val="24"/>
          <w:szCs w:val="24"/>
        </w:rPr>
        <w:t>6.</w:t>
      </w:r>
      <w:r w:rsidRPr="00E23A1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Soft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[Электронный ресурс] // </w:t>
      </w:r>
      <w:proofErr w:type="spellStart"/>
      <w:r w:rsidRPr="00E23A16">
        <w:rPr>
          <w:rFonts w:ascii="Times New Roman" w:hAnsi="Times New Roman" w:cs="Times New Roman"/>
          <w:sz w:val="24"/>
          <w:szCs w:val="24"/>
        </w:rPr>
        <w:t>информ</w:t>
      </w:r>
      <w:proofErr w:type="gramStart"/>
      <w:r w:rsidRPr="00E23A16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E23A16">
        <w:rPr>
          <w:rFonts w:ascii="Times New Roman" w:hAnsi="Times New Roman" w:cs="Times New Roman"/>
          <w:sz w:val="24"/>
          <w:szCs w:val="24"/>
        </w:rPr>
        <w:t>справочный</w:t>
      </w:r>
      <w:proofErr w:type="spellEnd"/>
      <w:r w:rsidRPr="00E23A16">
        <w:rPr>
          <w:rFonts w:ascii="Times New Roman" w:hAnsi="Times New Roman" w:cs="Times New Roman"/>
          <w:sz w:val="24"/>
          <w:szCs w:val="24"/>
        </w:rPr>
        <w:t xml:space="preserve"> портал. 2019. https://softpower30.com/country/turkey/ (дата обращения: 29.10.2020)</w:t>
      </w:r>
    </w:p>
    <w:sectPr w:rsidR="002E4461" w:rsidRPr="00E23A16" w:rsidSect="00C1527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E4461"/>
    <w:rsid w:val="000B4DC5"/>
    <w:rsid w:val="002E4461"/>
    <w:rsid w:val="00346BEB"/>
    <w:rsid w:val="006F15C3"/>
    <w:rsid w:val="00A235D7"/>
    <w:rsid w:val="00A4355A"/>
    <w:rsid w:val="00C1527E"/>
    <w:rsid w:val="00C84A42"/>
    <w:rsid w:val="00E23A16"/>
    <w:rsid w:val="00E47FCA"/>
    <w:rsid w:val="00E73BB0"/>
    <w:rsid w:val="00ED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</dc:creator>
  <cp:keywords/>
  <dc:description/>
  <cp:lastModifiedBy>MinaevA</cp:lastModifiedBy>
  <cp:revision>8</cp:revision>
  <dcterms:created xsi:type="dcterms:W3CDTF">2020-11-10T13:47:00Z</dcterms:created>
  <dcterms:modified xsi:type="dcterms:W3CDTF">2020-11-10T14:46:00Z</dcterms:modified>
</cp:coreProperties>
</file>