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1A" w:rsidRPr="00640B1A" w:rsidRDefault="00640B1A" w:rsidP="00640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B1A">
        <w:rPr>
          <w:rFonts w:ascii="Times New Roman" w:hAnsi="Times New Roman" w:cs="Times New Roman"/>
          <w:b/>
          <w:sz w:val="24"/>
          <w:szCs w:val="24"/>
        </w:rPr>
        <w:t xml:space="preserve">Преемственность в организации исследовательской деятельности: формирование мотивации школьников </w:t>
      </w:r>
    </w:p>
    <w:p w:rsidR="00640B1A" w:rsidRPr="00D4230A" w:rsidRDefault="00640B1A" w:rsidP="00640B1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i/>
          <w:iCs/>
        </w:rPr>
      </w:pPr>
      <w:r w:rsidRPr="004F4F75">
        <w:rPr>
          <w:rFonts w:ascii="Times New Roman" w:eastAsia="Times New Roman" w:hAnsi="Times New Roman"/>
          <w:b/>
          <w:bCs/>
          <w:i/>
        </w:rPr>
        <w:t>Литвиненко Елена Владимировна</w:t>
      </w:r>
      <w:r w:rsidRPr="004F4F75">
        <w:rPr>
          <w:rFonts w:ascii="Times New Roman" w:eastAsia="Times New Roman" w:hAnsi="Times New Roman"/>
          <w:i/>
        </w:rPr>
        <w:br/>
      </w:r>
      <w:r>
        <w:rPr>
          <w:rFonts w:ascii="Times New Roman" w:eastAsia="Times New Roman" w:hAnsi="Times New Roman"/>
          <w:i/>
          <w:iCs/>
        </w:rPr>
        <w:t>Ассистент</w:t>
      </w:r>
      <w:r w:rsidRPr="00D4230A">
        <w:rPr>
          <w:rFonts w:ascii="Times New Roman" w:eastAsia="Times New Roman" w:hAnsi="Times New Roman"/>
          <w:i/>
          <w:iCs/>
        </w:rPr>
        <w:br/>
      </w:r>
      <w:r>
        <w:rPr>
          <w:rFonts w:ascii="Times New Roman" w:eastAsia="Times New Roman" w:hAnsi="Times New Roman"/>
          <w:i/>
          <w:iCs/>
        </w:rPr>
        <w:t>Казанский федеральный университет</w:t>
      </w:r>
      <w:r w:rsidRPr="00D4230A">
        <w:rPr>
          <w:rFonts w:ascii="Times New Roman" w:eastAsia="Times New Roman" w:hAnsi="Times New Roman"/>
          <w:i/>
          <w:iCs/>
        </w:rPr>
        <w:t>, </w:t>
      </w:r>
      <w:r w:rsidRPr="00D4230A">
        <w:rPr>
          <w:rFonts w:ascii="Times New Roman" w:eastAsia="Times New Roman" w:hAnsi="Times New Roman"/>
          <w:i/>
          <w:iCs/>
        </w:rPr>
        <w:br/>
        <w:t xml:space="preserve">факультет </w:t>
      </w:r>
      <w:r>
        <w:rPr>
          <w:rFonts w:ascii="Times New Roman" w:eastAsia="Times New Roman" w:hAnsi="Times New Roman"/>
          <w:i/>
          <w:iCs/>
        </w:rPr>
        <w:t>языковой и межкультурной коммуникации</w:t>
      </w:r>
      <w:r w:rsidRPr="00D4230A">
        <w:rPr>
          <w:rFonts w:ascii="Times New Roman" w:eastAsia="Times New Roman" w:hAnsi="Times New Roman"/>
          <w:i/>
          <w:iCs/>
        </w:rPr>
        <w:t xml:space="preserve">, </w:t>
      </w:r>
      <w:r>
        <w:rPr>
          <w:rFonts w:ascii="Times New Roman" w:eastAsia="Times New Roman" w:hAnsi="Times New Roman"/>
          <w:i/>
          <w:iCs/>
        </w:rPr>
        <w:t>Казань</w:t>
      </w:r>
      <w:r w:rsidRPr="00D4230A">
        <w:rPr>
          <w:rFonts w:ascii="Times New Roman" w:eastAsia="Times New Roman" w:hAnsi="Times New Roman"/>
          <w:i/>
          <w:iCs/>
        </w:rPr>
        <w:t xml:space="preserve">, </w:t>
      </w:r>
      <w:r>
        <w:rPr>
          <w:rFonts w:ascii="Times New Roman" w:eastAsia="Times New Roman" w:hAnsi="Times New Roman"/>
          <w:i/>
          <w:iCs/>
        </w:rPr>
        <w:t>Россия</w:t>
      </w:r>
    </w:p>
    <w:p w:rsidR="00640B1A" w:rsidRPr="00640B1A" w:rsidRDefault="00640B1A" w:rsidP="00640B1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iCs/>
        </w:rPr>
      </w:pPr>
      <w:r w:rsidRPr="00D70161">
        <w:rPr>
          <w:rFonts w:ascii="Times New Roman" w:eastAsia="Times New Roman" w:hAnsi="Times New Roman"/>
          <w:iCs/>
          <w:lang w:val="en-US"/>
        </w:rPr>
        <w:t>E</w:t>
      </w:r>
      <w:r w:rsidRPr="00E4464B">
        <w:rPr>
          <w:rFonts w:ascii="Times New Roman" w:eastAsia="Times New Roman" w:hAnsi="Times New Roman"/>
          <w:iCs/>
        </w:rPr>
        <w:t>-</w:t>
      </w:r>
      <w:r w:rsidRPr="00D70161">
        <w:rPr>
          <w:rFonts w:ascii="Times New Roman" w:eastAsia="Times New Roman" w:hAnsi="Times New Roman"/>
          <w:iCs/>
          <w:lang w:val="en-US"/>
        </w:rPr>
        <w:t>mail</w:t>
      </w:r>
      <w:r w:rsidRPr="00E4464B">
        <w:rPr>
          <w:rFonts w:ascii="Times New Roman" w:eastAsia="Times New Roman" w:hAnsi="Times New Roman"/>
          <w:iCs/>
        </w:rPr>
        <w:t>:</w:t>
      </w:r>
      <w:r w:rsidRPr="00E4464B">
        <w:rPr>
          <w:rFonts w:ascii="Times New Roman" w:eastAsia="Times New Roman" w:hAnsi="Times New Roman"/>
          <w:i/>
          <w:iCs/>
        </w:rPr>
        <w:t xml:space="preserve"> </w:t>
      </w:r>
      <w:hyperlink r:id="rId4" w:history="1">
        <w:r w:rsidRPr="001837AB">
          <w:rPr>
            <w:rStyle w:val="a3"/>
            <w:rFonts w:ascii="Times New Roman" w:eastAsia="Times New Roman" w:hAnsi="Times New Roman"/>
            <w:iCs/>
            <w:lang w:val="en-US"/>
          </w:rPr>
          <w:t>lena</w:t>
        </w:r>
        <w:r w:rsidRPr="00E4464B">
          <w:rPr>
            <w:rStyle w:val="a3"/>
            <w:rFonts w:ascii="Times New Roman" w:eastAsia="Times New Roman" w:hAnsi="Times New Roman"/>
            <w:iCs/>
          </w:rPr>
          <w:t>2703@</w:t>
        </w:r>
        <w:r w:rsidRPr="001837AB">
          <w:rPr>
            <w:rStyle w:val="a3"/>
            <w:rFonts w:ascii="Times New Roman" w:eastAsia="Times New Roman" w:hAnsi="Times New Roman"/>
            <w:iCs/>
            <w:lang w:val="en-US"/>
          </w:rPr>
          <w:t>inbox</w:t>
        </w:r>
        <w:r w:rsidRPr="00E4464B">
          <w:rPr>
            <w:rStyle w:val="a3"/>
            <w:rFonts w:ascii="Times New Roman" w:eastAsia="Times New Roman" w:hAnsi="Times New Roman"/>
            <w:iCs/>
          </w:rPr>
          <w:t>.</w:t>
        </w:r>
        <w:r w:rsidRPr="001837AB">
          <w:rPr>
            <w:rStyle w:val="a3"/>
            <w:rFonts w:ascii="Times New Roman" w:eastAsia="Times New Roman" w:hAnsi="Times New Roman"/>
            <w:iCs/>
            <w:lang w:val="en-US"/>
          </w:rPr>
          <w:t>ru</w:t>
        </w:r>
      </w:hyperlink>
    </w:p>
    <w:p w:rsidR="00776834" w:rsidRPr="00326BEE" w:rsidRDefault="00776834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BEE">
        <w:rPr>
          <w:rFonts w:ascii="Times New Roman" w:hAnsi="Times New Roman" w:cs="Times New Roman"/>
          <w:sz w:val="24"/>
          <w:szCs w:val="24"/>
        </w:rPr>
        <w:t xml:space="preserve">Многие зарубежные школы базируются уже много лет на статусе  исследовательского учебного заведения, они же ориентированы на научных подходах в преподавании, поскольку понимают важность темпов роста научной трансформации на мировой арене. В России же на развитие исследовательской деятельности школьников стало </w:t>
      </w:r>
      <w:r w:rsidR="00211330" w:rsidRPr="00326BEE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326BEE">
        <w:rPr>
          <w:rFonts w:ascii="Times New Roman" w:hAnsi="Times New Roman" w:cs="Times New Roman"/>
          <w:sz w:val="24"/>
          <w:szCs w:val="24"/>
        </w:rPr>
        <w:t>актуальным</w:t>
      </w:r>
      <w:r w:rsidR="00211330" w:rsidRPr="00326BEE">
        <w:rPr>
          <w:rFonts w:ascii="Times New Roman" w:hAnsi="Times New Roman" w:cs="Times New Roman"/>
          <w:sz w:val="24"/>
          <w:szCs w:val="24"/>
        </w:rPr>
        <w:t xml:space="preserve"> в последнее десятилетие, целью данной пропаганды является формирование будущих высококвалифицированных специалистов, обладающие всеми знаниями, умениями и навыками, чтобы быть готовыми для новых научных открытий. </w:t>
      </w:r>
    </w:p>
    <w:p w:rsidR="00211330" w:rsidRPr="00326BEE" w:rsidRDefault="00211330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BEE">
        <w:rPr>
          <w:rFonts w:ascii="Times New Roman" w:hAnsi="Times New Roman" w:cs="Times New Roman"/>
          <w:sz w:val="24"/>
          <w:szCs w:val="24"/>
        </w:rPr>
        <w:t>Для того чтобы обучать школьников исследовательской деятельности необходимо иметь опытных преподавателей, которые заинтересованы в будущем своих учащихся. Однако, ситуация в России на данный момент все же остается  неоднозначн</w:t>
      </w:r>
      <w:r w:rsidR="004C62A0" w:rsidRPr="00326BEE">
        <w:rPr>
          <w:rFonts w:ascii="Times New Roman" w:hAnsi="Times New Roman" w:cs="Times New Roman"/>
          <w:sz w:val="24"/>
          <w:szCs w:val="24"/>
        </w:rPr>
        <w:t xml:space="preserve">ой, поскольку некоторые учителя не проявляют желания к причастию исследовательской деятельности, а учитель, который не занимается глубоким изучением своего учебного предмета, можно предположить, имеет низкий профессиональный уровень.   </w:t>
      </w:r>
    </w:p>
    <w:p w:rsidR="004C62A0" w:rsidRPr="00326BEE" w:rsidRDefault="004C62A0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BEE">
        <w:rPr>
          <w:rFonts w:ascii="Times New Roman" w:hAnsi="Times New Roman" w:cs="Times New Roman"/>
          <w:sz w:val="24"/>
          <w:szCs w:val="24"/>
        </w:rPr>
        <w:t xml:space="preserve">В связи с этим была разработана программа </w:t>
      </w:r>
      <w:r w:rsidR="00326BEE" w:rsidRPr="00326BEE">
        <w:rPr>
          <w:rFonts w:ascii="Times New Roman" w:hAnsi="Times New Roman" w:cs="Times New Roman"/>
          <w:sz w:val="24"/>
          <w:szCs w:val="24"/>
        </w:rPr>
        <w:t xml:space="preserve">по организации исследовательской деятельности школьников и формированию мотивации к ней </w:t>
      </w:r>
      <w:r w:rsidRPr="00326BEE">
        <w:rPr>
          <w:rFonts w:ascii="Times New Roman" w:hAnsi="Times New Roman" w:cs="Times New Roman"/>
          <w:sz w:val="24"/>
          <w:szCs w:val="24"/>
        </w:rPr>
        <w:t>для учителей</w:t>
      </w:r>
      <w:r w:rsidR="00326BEE" w:rsidRPr="00326BEE">
        <w:rPr>
          <w:rFonts w:ascii="Times New Roman" w:hAnsi="Times New Roman" w:cs="Times New Roman"/>
          <w:sz w:val="24"/>
          <w:szCs w:val="24"/>
        </w:rPr>
        <w:t>, классных руководителей</w:t>
      </w:r>
      <w:r w:rsidRPr="00326BEE">
        <w:rPr>
          <w:rFonts w:ascii="Times New Roman" w:hAnsi="Times New Roman" w:cs="Times New Roman"/>
          <w:sz w:val="24"/>
          <w:szCs w:val="24"/>
        </w:rPr>
        <w:t xml:space="preserve"> и студентов старших курсов</w:t>
      </w:r>
      <w:r w:rsidR="00326BEE" w:rsidRPr="00326BEE">
        <w:rPr>
          <w:rFonts w:ascii="Times New Roman" w:hAnsi="Times New Roman" w:cs="Times New Roman"/>
          <w:sz w:val="24"/>
          <w:szCs w:val="24"/>
        </w:rPr>
        <w:t xml:space="preserve"> высших учебных заведений</w:t>
      </w:r>
      <w:r w:rsidRPr="00326BEE">
        <w:rPr>
          <w:rFonts w:ascii="Times New Roman" w:hAnsi="Times New Roman" w:cs="Times New Roman"/>
          <w:sz w:val="24"/>
          <w:szCs w:val="24"/>
        </w:rPr>
        <w:t xml:space="preserve"> </w:t>
      </w:r>
      <w:r w:rsidR="00326BEE" w:rsidRPr="00326BEE">
        <w:rPr>
          <w:rFonts w:ascii="Times New Roman" w:hAnsi="Times New Roman" w:cs="Times New Roman"/>
          <w:sz w:val="24"/>
          <w:szCs w:val="24"/>
        </w:rPr>
        <w:t>для реализации внеклассных воспитательных мероприятий в учреждениях общего среднего образования.</w:t>
      </w:r>
    </w:p>
    <w:p w:rsidR="00326BEE" w:rsidRPr="00326BEE" w:rsidRDefault="00326BEE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BEE">
        <w:rPr>
          <w:rFonts w:ascii="Times New Roman" w:hAnsi="Times New Roman" w:cs="Times New Roman"/>
          <w:sz w:val="24"/>
          <w:szCs w:val="24"/>
        </w:rPr>
        <w:t>Содержание  работы  по  формированию  у  старших  школьников  мотивации к исследовательской деятельности нашло свое отражение в таких темах, как: «Куда и как шагает мир», «Представь себя ученым», «</w:t>
      </w:r>
      <w:proofErr w:type="spellStart"/>
      <w:r w:rsidRPr="00326BEE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326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BE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BEE">
        <w:rPr>
          <w:rFonts w:ascii="Times New Roman" w:hAnsi="Times New Roman" w:cs="Times New Roman"/>
          <w:sz w:val="24"/>
          <w:szCs w:val="24"/>
        </w:rPr>
        <w:t xml:space="preserve"> USA», «Кто он, молодой ученый?», «Куда текут мозги?», «</w:t>
      </w:r>
      <w:proofErr w:type="spellStart"/>
      <w:r w:rsidRPr="00326BEE">
        <w:rPr>
          <w:rFonts w:ascii="Times New Roman" w:hAnsi="Times New Roman" w:cs="Times New Roman"/>
          <w:sz w:val="24"/>
          <w:szCs w:val="24"/>
        </w:rPr>
        <w:t>Debate</w:t>
      </w:r>
      <w:proofErr w:type="spellEnd"/>
      <w:r w:rsidRPr="00326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BEE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326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BEE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326BEE">
        <w:rPr>
          <w:rFonts w:ascii="Times New Roman" w:hAnsi="Times New Roman" w:cs="Times New Roman"/>
          <w:sz w:val="24"/>
          <w:szCs w:val="24"/>
        </w:rPr>
        <w:t>», «Открытия в науке XXI века»</w:t>
      </w:r>
      <w:r w:rsidR="00640B1A">
        <w:rPr>
          <w:rFonts w:ascii="Times New Roman" w:hAnsi="Times New Roman" w:cs="Times New Roman"/>
          <w:sz w:val="24"/>
          <w:szCs w:val="24"/>
        </w:rPr>
        <w:t>, «Старт научных знаний», «Пого</w:t>
      </w:r>
      <w:r w:rsidRPr="00326BEE">
        <w:rPr>
          <w:rFonts w:ascii="Times New Roman" w:hAnsi="Times New Roman" w:cs="Times New Roman"/>
          <w:sz w:val="24"/>
          <w:szCs w:val="24"/>
        </w:rPr>
        <w:t xml:space="preserve">ворим о </w:t>
      </w:r>
      <w:proofErr w:type="gramStart"/>
      <w:r w:rsidRPr="00326BEE">
        <w:rPr>
          <w:rFonts w:ascii="Times New Roman" w:hAnsi="Times New Roman" w:cs="Times New Roman"/>
          <w:sz w:val="24"/>
          <w:szCs w:val="24"/>
        </w:rPr>
        <w:t>самом</w:t>
      </w:r>
      <w:proofErr w:type="gramEnd"/>
      <w:r w:rsidRPr="00326BEE">
        <w:rPr>
          <w:rFonts w:ascii="Times New Roman" w:hAnsi="Times New Roman" w:cs="Times New Roman"/>
          <w:sz w:val="24"/>
          <w:szCs w:val="24"/>
        </w:rPr>
        <w:t xml:space="preserve"> важном», «Книга – маленькое окошко, через него весь мир видно», «Горизонт 2020», «Мое отношение к науке». </w:t>
      </w:r>
      <w:proofErr w:type="gramStart"/>
      <w:r w:rsidR="00640B1A">
        <w:rPr>
          <w:rFonts w:ascii="Times New Roman" w:hAnsi="Times New Roman" w:cs="Times New Roman"/>
          <w:sz w:val="24"/>
          <w:szCs w:val="24"/>
        </w:rPr>
        <w:t>Для</w:t>
      </w:r>
      <w:r w:rsidRPr="00326BEE">
        <w:rPr>
          <w:rFonts w:ascii="Times New Roman" w:hAnsi="Times New Roman" w:cs="Times New Roman"/>
          <w:sz w:val="24"/>
          <w:szCs w:val="24"/>
        </w:rPr>
        <w:t xml:space="preserve"> реализации  содержания  процесса  формирования  у  старших школьников мотивации к исследовательской деятельности были отобраны следующие  формы  воспитания,  соответствую</w:t>
      </w:r>
      <w:r w:rsidR="00640B1A">
        <w:rPr>
          <w:rFonts w:ascii="Times New Roman" w:hAnsi="Times New Roman" w:cs="Times New Roman"/>
          <w:sz w:val="24"/>
          <w:szCs w:val="24"/>
        </w:rPr>
        <w:t>щие  возрастным  особенно</w:t>
      </w:r>
      <w:r w:rsidRPr="00326BEE">
        <w:rPr>
          <w:rFonts w:ascii="Times New Roman" w:hAnsi="Times New Roman" w:cs="Times New Roman"/>
          <w:sz w:val="24"/>
          <w:szCs w:val="24"/>
        </w:rPr>
        <w:t>стям старших школьников: разброс мнений, презентация мира, «Проект-мечта» [</w:t>
      </w:r>
      <w:r w:rsidR="004C5D25">
        <w:rPr>
          <w:rFonts w:ascii="Times New Roman" w:hAnsi="Times New Roman" w:cs="Times New Roman"/>
          <w:sz w:val="24"/>
          <w:szCs w:val="24"/>
        </w:rPr>
        <w:t>2</w:t>
      </w:r>
      <w:r w:rsidRPr="00326BEE">
        <w:rPr>
          <w:rFonts w:ascii="Times New Roman" w:hAnsi="Times New Roman" w:cs="Times New Roman"/>
          <w:sz w:val="24"/>
          <w:szCs w:val="24"/>
        </w:rPr>
        <w:t>], продуктивная игра [</w:t>
      </w:r>
      <w:r w:rsidR="004C5D25">
        <w:rPr>
          <w:rFonts w:ascii="Times New Roman" w:hAnsi="Times New Roman" w:cs="Times New Roman"/>
          <w:sz w:val="24"/>
          <w:szCs w:val="24"/>
        </w:rPr>
        <w:t>2</w:t>
      </w:r>
      <w:r w:rsidRPr="00326BEE">
        <w:rPr>
          <w:rFonts w:ascii="Times New Roman" w:hAnsi="Times New Roman" w:cs="Times New Roman"/>
          <w:sz w:val="24"/>
          <w:szCs w:val="24"/>
        </w:rPr>
        <w:t>], исс</w:t>
      </w:r>
      <w:r w:rsidR="00640B1A">
        <w:rPr>
          <w:rFonts w:ascii="Times New Roman" w:hAnsi="Times New Roman" w:cs="Times New Roman"/>
          <w:sz w:val="24"/>
          <w:szCs w:val="24"/>
        </w:rPr>
        <w:t>ледовательская лаборатория, кру</w:t>
      </w:r>
      <w:r w:rsidRPr="00326BEE">
        <w:rPr>
          <w:rFonts w:ascii="Times New Roman" w:hAnsi="Times New Roman" w:cs="Times New Roman"/>
          <w:sz w:val="24"/>
          <w:szCs w:val="24"/>
        </w:rPr>
        <w:t>глый стол, свободный разговор, симпозиум, заседание экспертной группы [</w:t>
      </w:r>
      <w:r w:rsidR="004C5D25">
        <w:rPr>
          <w:rFonts w:ascii="Times New Roman" w:hAnsi="Times New Roman" w:cs="Times New Roman"/>
          <w:sz w:val="24"/>
          <w:szCs w:val="24"/>
        </w:rPr>
        <w:t>2</w:t>
      </w:r>
      <w:r w:rsidRPr="00326BEE">
        <w:rPr>
          <w:rFonts w:ascii="Times New Roman" w:hAnsi="Times New Roman" w:cs="Times New Roman"/>
          <w:sz w:val="24"/>
          <w:szCs w:val="24"/>
        </w:rPr>
        <w:t>],  интеллектуальный  ринг,  дебаты,  представление-соревнование  [</w:t>
      </w:r>
      <w:r w:rsidR="004C5D25">
        <w:rPr>
          <w:rFonts w:ascii="Times New Roman" w:hAnsi="Times New Roman" w:cs="Times New Roman"/>
          <w:sz w:val="24"/>
          <w:szCs w:val="24"/>
        </w:rPr>
        <w:t>2</w:t>
      </w:r>
      <w:r w:rsidRPr="00326BEE">
        <w:rPr>
          <w:rFonts w:ascii="Times New Roman" w:hAnsi="Times New Roman" w:cs="Times New Roman"/>
          <w:sz w:val="24"/>
          <w:szCs w:val="24"/>
        </w:rPr>
        <w:t>], «Яблоня возможностей» [1] и т. д.</w:t>
      </w:r>
      <w:proofErr w:type="gramEnd"/>
    </w:p>
    <w:p w:rsidR="00640B1A" w:rsidRPr="00640B1A" w:rsidRDefault="00640B1A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B1A">
        <w:rPr>
          <w:rFonts w:ascii="Times New Roman" w:hAnsi="Times New Roman" w:cs="Times New Roman"/>
          <w:sz w:val="24"/>
          <w:szCs w:val="24"/>
        </w:rPr>
        <w:t xml:space="preserve">Реализации  содержания  процесса  формирования  у  учащихся мотивации  к  исследовательской  деятельности способствовали  такие методы воспитания, как: мозговой штурм, примеры из жизни ученых, игра, дискуссия,  объяснение,  творческое  задание. Кроме  методов  воспитания, были  отобраны  такие  методы  обучения,  как:  </w:t>
      </w:r>
      <w:r w:rsidRPr="00640B1A">
        <w:rPr>
          <w:rFonts w:ascii="Times New Roman" w:hAnsi="Times New Roman" w:cs="Times New Roman"/>
          <w:sz w:val="24"/>
          <w:szCs w:val="24"/>
        </w:rPr>
        <w:lastRenderedPageBreak/>
        <w:t>эвристическая  беседа, создание проблемных ситуаций, метод «мозгового штурма», деловая игра, частично-поисковый и исследовательский методы, метод проектов и др.</w:t>
      </w:r>
    </w:p>
    <w:p w:rsidR="00326BEE" w:rsidRDefault="00640B1A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B1A">
        <w:rPr>
          <w:rFonts w:ascii="Times New Roman" w:hAnsi="Times New Roman" w:cs="Times New Roman"/>
          <w:sz w:val="24"/>
          <w:szCs w:val="24"/>
        </w:rPr>
        <w:t>Для  определения  эффективности  процесса  реализации  содержания, форм  и  методов  формирования  у  учащихся  мотивации  к исследовательской  деятельности  были  выбраны  такие  методы исследования, как: беседа, наблюдение, анализ продуктивной деятельности учащихся, анкетирование и т.д.</w:t>
      </w:r>
    </w:p>
    <w:p w:rsidR="00640B1A" w:rsidRDefault="00640B1A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B1A">
        <w:rPr>
          <w:rFonts w:ascii="Times New Roman" w:hAnsi="Times New Roman" w:cs="Times New Roman"/>
          <w:sz w:val="24"/>
          <w:szCs w:val="24"/>
        </w:rPr>
        <w:t>Интерес  учащихся  к  исследовательской  деятельности  может существенно  повыситься  при  условии  реализации  учителем  комплекса взаимосвязанных  задач,  содержания,  форм  и  методов,  способствующих относительно  быстрому  вовлечению  учащихся  в  исследовательскую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Это способствует преемственности в организации </w:t>
      </w:r>
      <w:r w:rsidR="004C5D25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деятельности: школа-вуз, вуз-предприятие и т.д., акцентируя внимание на формирование исследовательской культуры и ценностного отношения к профессиональной деятельности. </w:t>
      </w:r>
    </w:p>
    <w:p w:rsidR="004C5D25" w:rsidRDefault="004C5D25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5D25" w:rsidRDefault="004C5D25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4C5D25" w:rsidRPr="004C5D25" w:rsidRDefault="004C5D25" w:rsidP="004C5D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25">
        <w:rPr>
          <w:rFonts w:ascii="Times New Roman" w:hAnsi="Times New Roman" w:cs="Times New Roman"/>
          <w:sz w:val="24"/>
          <w:szCs w:val="24"/>
        </w:rPr>
        <w:t>1. Афанасьев  С.П.  Методика  организации  интеллектуально-познавательных  игр  // Вестник КГПУ им. Н.А. Некрасова. – 1995. – № 3. – С. 72-76.</w:t>
      </w:r>
    </w:p>
    <w:p w:rsidR="004C5D25" w:rsidRPr="004C5D25" w:rsidRDefault="004C5D25" w:rsidP="004C5D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5D25">
        <w:rPr>
          <w:rFonts w:ascii="Times New Roman" w:hAnsi="Times New Roman" w:cs="Times New Roman"/>
          <w:sz w:val="24"/>
          <w:szCs w:val="24"/>
        </w:rPr>
        <w:t xml:space="preserve">. Кларин М.В. Педагогическая технология в учебном процессе: анализ зарубежного опыта. – М.: Педагогика, 1989. – 132 </w:t>
      </w:r>
      <w:proofErr w:type="gramStart"/>
      <w:r w:rsidRPr="004C5D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C5D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D25" w:rsidRPr="004C5D25" w:rsidRDefault="004C5D25" w:rsidP="004C5D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C5D25">
        <w:rPr>
          <w:rFonts w:ascii="Times New Roman" w:hAnsi="Times New Roman" w:cs="Times New Roman"/>
          <w:sz w:val="24"/>
          <w:szCs w:val="24"/>
        </w:rPr>
        <w:t xml:space="preserve">. Куприянов  Б.В.  Восемнадцать  форм  воспитательной  работы  </w:t>
      </w:r>
      <w:proofErr w:type="gramStart"/>
      <w:r w:rsidRPr="004C5D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C5D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C5D25">
        <w:rPr>
          <w:rFonts w:ascii="Times New Roman" w:hAnsi="Times New Roman" w:cs="Times New Roman"/>
          <w:sz w:val="24"/>
          <w:szCs w:val="24"/>
        </w:rPr>
        <w:t>детским</w:t>
      </w:r>
      <w:proofErr w:type="gramEnd"/>
      <w:r w:rsidRPr="004C5D2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5D25">
        <w:rPr>
          <w:rFonts w:ascii="Times New Roman" w:hAnsi="Times New Roman" w:cs="Times New Roman"/>
          <w:sz w:val="24"/>
          <w:szCs w:val="24"/>
        </w:rPr>
        <w:t>коллекти-вом</w:t>
      </w:r>
      <w:proofErr w:type="spellEnd"/>
      <w:r w:rsidRPr="004C5D25">
        <w:rPr>
          <w:rFonts w:ascii="Times New Roman" w:hAnsi="Times New Roman" w:cs="Times New Roman"/>
          <w:sz w:val="24"/>
          <w:szCs w:val="24"/>
        </w:rPr>
        <w:t xml:space="preserve"> класса // Классный руководитель. – 2007. – № 6. – С. 103–125. </w:t>
      </w:r>
    </w:p>
    <w:p w:rsidR="004C5D25" w:rsidRPr="004C5D25" w:rsidRDefault="004C5D25" w:rsidP="004C5D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5D25">
        <w:rPr>
          <w:rFonts w:ascii="Times New Roman" w:hAnsi="Times New Roman" w:cs="Times New Roman"/>
          <w:sz w:val="24"/>
          <w:szCs w:val="24"/>
        </w:rPr>
        <w:t>. Титова Е.</w:t>
      </w:r>
      <w:proofErr w:type="gramStart"/>
      <w:r w:rsidRPr="004C5D25">
        <w:rPr>
          <w:rFonts w:ascii="Times New Roman" w:hAnsi="Times New Roman" w:cs="Times New Roman"/>
          <w:sz w:val="24"/>
          <w:szCs w:val="24"/>
        </w:rPr>
        <w:t>В.</w:t>
      </w:r>
      <w:proofErr w:type="gramEnd"/>
      <w:r w:rsidRPr="004C5D25">
        <w:rPr>
          <w:rFonts w:ascii="Times New Roman" w:hAnsi="Times New Roman" w:cs="Times New Roman"/>
          <w:sz w:val="24"/>
          <w:szCs w:val="24"/>
        </w:rPr>
        <w:t xml:space="preserve"> Если знать, как действовать: Разговор о методике воспитания: Кн. для учителя. – М.: Просвещение, 1993. – 192 </w:t>
      </w:r>
      <w:proofErr w:type="gramStart"/>
      <w:r w:rsidRPr="004C5D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C5D25">
        <w:rPr>
          <w:rFonts w:ascii="Times New Roman" w:hAnsi="Times New Roman" w:cs="Times New Roman"/>
          <w:sz w:val="24"/>
          <w:szCs w:val="24"/>
        </w:rPr>
        <w:t>.</w:t>
      </w:r>
    </w:p>
    <w:p w:rsidR="00640B1A" w:rsidRDefault="004C5D25" w:rsidP="004C5D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5D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5D25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4C5D25">
        <w:rPr>
          <w:rFonts w:ascii="Times New Roman" w:hAnsi="Times New Roman" w:cs="Times New Roman"/>
          <w:sz w:val="24"/>
          <w:szCs w:val="24"/>
        </w:rPr>
        <w:t xml:space="preserve"> Н.Е Собранье пестрых дел. – М., 1994. – 96 с.</w:t>
      </w:r>
    </w:p>
    <w:p w:rsidR="00640B1A" w:rsidRPr="00640B1A" w:rsidRDefault="00640B1A" w:rsidP="00640B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40B1A" w:rsidRPr="00640B1A" w:rsidSect="00640B1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76834"/>
    <w:rsid w:val="00203756"/>
    <w:rsid w:val="00211330"/>
    <w:rsid w:val="00326BEE"/>
    <w:rsid w:val="004C5D25"/>
    <w:rsid w:val="004C62A0"/>
    <w:rsid w:val="00640B1A"/>
    <w:rsid w:val="00776834"/>
    <w:rsid w:val="008E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B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a2703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Helen`</dc:creator>
  <cp:lastModifiedBy>Helen`</cp:lastModifiedBy>
  <cp:revision>1</cp:revision>
  <dcterms:created xsi:type="dcterms:W3CDTF">2020-03-15T12:14:00Z</dcterms:created>
  <dcterms:modified xsi:type="dcterms:W3CDTF">2020-03-15T13:10:00Z</dcterms:modified>
</cp:coreProperties>
</file>