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48" w:rsidRDefault="00862348" w:rsidP="00744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фазовых переходов при образовании и разложении гидратов природного газа в дисперсных средах</w:t>
      </w:r>
    </w:p>
    <w:p w:rsidR="00066359" w:rsidRDefault="00066359" w:rsidP="00066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Егоров Д.</w:t>
      </w:r>
      <w:r w:rsidR="00744E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Васильев А.А.,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Pr="00066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Чайникова А.А.,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 </w:t>
      </w:r>
    </w:p>
    <w:p w:rsidR="00066359" w:rsidRDefault="00066359" w:rsidP="00066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Калачева Л.П.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Иванова И.К.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Портнягин А.С.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Семенов М.Е.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</w:p>
    <w:p w:rsidR="00066359" w:rsidRDefault="00066359" w:rsidP="00066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Студент, 3 курс бакалавриата</w:t>
      </w:r>
    </w:p>
    <w:p w:rsidR="00066359" w:rsidRDefault="00066359" w:rsidP="00066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Северо-Восточный Федеральный университет имени М.К.Аммосова, </w:t>
      </w:r>
    </w:p>
    <w:p w:rsidR="00066359" w:rsidRDefault="00066359" w:rsidP="00066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естественных наук, Якутск, Россия</w:t>
      </w:r>
    </w:p>
    <w:p w:rsidR="00066359" w:rsidRDefault="00066359" w:rsidP="00066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="006940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ФГБУН ФИЦ ЯНЦ СО РАН 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ститут проблем нефти и газа СО РАН,</w:t>
      </w:r>
      <w:r w:rsidR="006940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066359" w:rsidRDefault="00066359" w:rsidP="00066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Якутск, Россия</w:t>
      </w:r>
    </w:p>
    <w:p w:rsidR="006940AC" w:rsidRPr="00862348" w:rsidRDefault="00066359" w:rsidP="00066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862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694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862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4" w:history="1">
        <w:r w:rsidR="006940AC" w:rsidRPr="00123988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j</w:t>
        </w:r>
        <w:r w:rsidR="00744E49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y</w:t>
        </w:r>
        <w:bookmarkStart w:id="0" w:name="_GoBack"/>
        <w:bookmarkEnd w:id="0"/>
        <w:r w:rsidR="006940AC" w:rsidRPr="00123988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l</w:t>
        </w:r>
        <w:r w:rsidR="00744E49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y</w:t>
        </w:r>
        <w:r w:rsidR="006940AC" w:rsidRPr="00123988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stan</w:t>
        </w:r>
        <w:r w:rsidR="006940AC" w:rsidRPr="00862348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1@</w:t>
        </w:r>
        <w:r w:rsidR="006940AC" w:rsidRPr="00123988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icloud</w:t>
        </w:r>
        <w:r w:rsidR="006940AC" w:rsidRPr="00862348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="006940AC" w:rsidRPr="00123988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862348" w:rsidRDefault="00066359" w:rsidP="003673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35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гидратообразования в дисперсных средах продиктовано с проблемой создания подземных хранилищ природного газа в форме гидратов в подмерзлотных водоносных горизонтах. Якутский артезианский бассейн, который был выбран в качестве объекта для построения газогидратного хранилища, расположен в зоне сплошного развития многолетнемерзлых пород</w:t>
      </w:r>
      <w:r w:rsidR="006F3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B73" w:rsidRPr="006F3B73">
        <w:rPr>
          <w:rFonts w:ascii="Times New Roman" w:eastAsia="Times New Roman" w:hAnsi="Times New Roman" w:cs="Times New Roman"/>
          <w:color w:val="000000"/>
          <w:sz w:val="24"/>
          <w:szCs w:val="24"/>
        </w:rPr>
        <w:t>[1]</w:t>
      </w:r>
      <w:r w:rsidRPr="00066359">
        <w:rPr>
          <w:rFonts w:ascii="Times New Roman" w:eastAsia="Times New Roman" w:hAnsi="Times New Roman" w:cs="Times New Roman"/>
          <w:color w:val="000000"/>
          <w:sz w:val="24"/>
          <w:szCs w:val="24"/>
        </w:rPr>
        <w:t>. Отложения юры, нижнего и среднего мела, представлены песками, песчаниками с прослоями аргиллитов и алевролитов. Химический состав вод представлен практически всеми генетическими типами пластовых вод в широком диапазоне концентраций</w:t>
      </w:r>
      <w:r w:rsidR="006F3B73" w:rsidRPr="006F3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[2]</w:t>
      </w:r>
      <w:r w:rsidRPr="00066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73B2" w:rsidRPr="006F3B73" w:rsidRDefault="003673B2" w:rsidP="003673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59" w:rsidRPr="00066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 модели пористой среды были использованы пески</w:t>
      </w:r>
      <w:r w:rsidRPr="0036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673B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6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6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пористость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6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преобладанием в гранулометрическом составе фракций разного размера: в</w:t>
      </w:r>
      <w:r w:rsidRPr="0036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речном песке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0,4-0,315 мм, а в морском - 0,315-0,2 мм.</w:t>
      </w:r>
      <w:r w:rsidR="00066359" w:rsidRPr="00066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для изучения влияния влажности и засоленности были использованы воды хлоридно-кальциевого и гидрокарбонатно-натриевого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типов</w:t>
      </w:r>
      <w:r w:rsidR="00066359" w:rsidRPr="00066359">
        <w:rPr>
          <w:rFonts w:ascii="Times New Roman" w:eastAsia="Times New Roman" w:hAnsi="Times New Roman" w:cs="Times New Roman"/>
          <w:color w:val="000000"/>
          <w:sz w:val="24"/>
          <w:szCs w:val="24"/>
        </w:rPr>
        <w:t>. Минерализация вод хлоридно-кальциевого типа варьировалась от 50 до 170 г/л, гидрокарбонатно-натриевого – от 2 до 20 г/л</w:t>
      </w:r>
      <w:r w:rsidR="00066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6359" w:rsidRPr="00812050">
        <w:rPr>
          <w:rFonts w:ascii="Times New Roman" w:hAnsi="Times New Roman" w:cs="Times New Roman"/>
          <w:sz w:val="24"/>
          <w:szCs w:val="24"/>
        </w:rPr>
        <w:t xml:space="preserve">Для изучения кинетики фазовых переходов при образовании </w:t>
      </w:r>
      <w:r w:rsidR="00814AF9">
        <w:rPr>
          <w:rFonts w:ascii="Times New Roman" w:hAnsi="Times New Roman" w:cs="Times New Roman"/>
          <w:sz w:val="24"/>
          <w:szCs w:val="24"/>
        </w:rPr>
        <w:t xml:space="preserve">гидратов </w:t>
      </w:r>
      <w:r w:rsidR="00066359" w:rsidRPr="00812050">
        <w:rPr>
          <w:rFonts w:ascii="Times New Roman" w:hAnsi="Times New Roman" w:cs="Times New Roman"/>
          <w:sz w:val="24"/>
          <w:szCs w:val="24"/>
        </w:rPr>
        <w:t>была собрана специальная установка по дифференциально-термическому анализу</w:t>
      </w:r>
      <w:r w:rsidR="00066359">
        <w:rPr>
          <w:rFonts w:ascii="Times New Roman" w:hAnsi="Times New Roman" w:cs="Times New Roman"/>
          <w:sz w:val="24"/>
          <w:szCs w:val="24"/>
        </w:rPr>
        <w:t>.</w:t>
      </w:r>
      <w:r w:rsidRPr="003673B2">
        <w:t xml:space="preserve"> </w:t>
      </w:r>
      <w:r w:rsidR="006F3B73" w:rsidRPr="006F3B73">
        <w:rPr>
          <w:rFonts w:ascii="Times New Roman" w:hAnsi="Times New Roman" w:cs="Times New Roman"/>
          <w:sz w:val="24"/>
          <w:szCs w:val="24"/>
        </w:rPr>
        <w:t>Отличительной особенностью этой установки является менее сложное строение измерительной ячейки по сравнению с ее аналогами, описанными в [</w:t>
      </w:r>
      <w:r w:rsidR="006F3B73">
        <w:rPr>
          <w:rFonts w:ascii="Times New Roman" w:hAnsi="Times New Roman" w:cs="Times New Roman"/>
          <w:sz w:val="24"/>
          <w:szCs w:val="24"/>
        </w:rPr>
        <w:t>3-4</w:t>
      </w:r>
      <w:r w:rsidR="006F3B73" w:rsidRPr="006F3B73">
        <w:rPr>
          <w:rFonts w:ascii="Times New Roman" w:hAnsi="Times New Roman" w:cs="Times New Roman"/>
          <w:sz w:val="24"/>
          <w:szCs w:val="24"/>
        </w:rPr>
        <w:t>].</w:t>
      </w:r>
    </w:p>
    <w:p w:rsidR="00066359" w:rsidRDefault="000B21C7" w:rsidP="00066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B73">
        <w:rPr>
          <w:rFonts w:ascii="Times New Roman" w:hAnsi="Times New Roman" w:cs="Times New Roman"/>
          <w:sz w:val="24"/>
          <w:szCs w:val="24"/>
        </w:rPr>
        <w:t>Выполненные экспериментальные исследования гидратоообразования</w:t>
      </w:r>
      <w:r w:rsidRPr="000B21C7">
        <w:rPr>
          <w:rFonts w:ascii="Times New Roman" w:hAnsi="Times New Roman" w:cs="Times New Roman"/>
          <w:sz w:val="24"/>
          <w:szCs w:val="24"/>
        </w:rPr>
        <w:t xml:space="preserve"> в дисперсных грунтах позволяют сделать следующие выводы:</w:t>
      </w:r>
      <w:r>
        <w:rPr>
          <w:rFonts w:ascii="Times New Roman" w:hAnsi="Times New Roman" w:cs="Times New Roman"/>
          <w:sz w:val="24"/>
          <w:szCs w:val="24"/>
        </w:rPr>
        <w:t xml:space="preserve"> 1) с</w:t>
      </w:r>
      <w:r w:rsidR="003673B2" w:rsidRPr="003673B2">
        <w:rPr>
          <w:rFonts w:ascii="Times New Roman" w:hAnsi="Times New Roman" w:cs="Times New Roman"/>
          <w:sz w:val="24"/>
          <w:szCs w:val="24"/>
        </w:rPr>
        <w:t xml:space="preserve">тепень переохлаждения </w:t>
      </w:r>
      <w:r w:rsidR="00DF6BAB">
        <w:rPr>
          <w:rFonts w:ascii="Times New Roman" w:hAnsi="Times New Roman" w:cs="Times New Roman"/>
          <w:sz w:val="24"/>
          <w:szCs w:val="24"/>
        </w:rPr>
        <w:t>с ув</w:t>
      </w:r>
      <w:r w:rsidR="003673B2" w:rsidRPr="003673B2">
        <w:rPr>
          <w:rFonts w:ascii="Times New Roman" w:hAnsi="Times New Roman" w:cs="Times New Roman"/>
          <w:sz w:val="24"/>
          <w:szCs w:val="24"/>
        </w:rPr>
        <w:t xml:space="preserve">еличением дисперсности песков </w:t>
      </w:r>
      <w:r w:rsidR="00DF6BAB">
        <w:rPr>
          <w:rFonts w:ascii="Times New Roman" w:hAnsi="Times New Roman" w:cs="Times New Roman"/>
          <w:sz w:val="24"/>
          <w:szCs w:val="24"/>
        </w:rPr>
        <w:t xml:space="preserve">уменьшается; 2) </w:t>
      </w:r>
      <w:r w:rsidR="00DF6BAB" w:rsidRPr="003673B2">
        <w:rPr>
          <w:rFonts w:ascii="Times New Roman" w:hAnsi="Times New Roman" w:cs="Times New Roman"/>
          <w:sz w:val="24"/>
          <w:szCs w:val="24"/>
        </w:rPr>
        <w:t xml:space="preserve">в речном песке </w:t>
      </w:r>
      <w:r w:rsidR="003673B2" w:rsidRPr="003673B2">
        <w:rPr>
          <w:rFonts w:ascii="Times New Roman" w:hAnsi="Times New Roman" w:cs="Times New Roman"/>
          <w:sz w:val="24"/>
          <w:szCs w:val="24"/>
        </w:rPr>
        <w:t xml:space="preserve">в растворах хлорида и гидрокарбоната натрия степень </w:t>
      </w:r>
      <w:r w:rsidR="00DF6BAB">
        <w:rPr>
          <w:rFonts w:ascii="Times New Roman" w:hAnsi="Times New Roman" w:cs="Times New Roman"/>
          <w:sz w:val="24"/>
          <w:szCs w:val="24"/>
        </w:rPr>
        <w:t>переохлаждения выше, чем в воде;</w:t>
      </w:r>
      <w:r w:rsidR="003673B2" w:rsidRPr="003673B2">
        <w:rPr>
          <w:rFonts w:ascii="Times New Roman" w:hAnsi="Times New Roman" w:cs="Times New Roman"/>
          <w:sz w:val="24"/>
          <w:szCs w:val="24"/>
        </w:rPr>
        <w:t xml:space="preserve"> </w:t>
      </w:r>
      <w:r w:rsidR="00DF6BAB">
        <w:rPr>
          <w:rFonts w:ascii="Times New Roman" w:hAnsi="Times New Roman" w:cs="Times New Roman"/>
          <w:sz w:val="24"/>
          <w:szCs w:val="24"/>
        </w:rPr>
        <w:t>3) в</w:t>
      </w:r>
      <w:r w:rsidR="003673B2" w:rsidRPr="003673B2">
        <w:rPr>
          <w:rFonts w:ascii="Times New Roman" w:hAnsi="Times New Roman" w:cs="Times New Roman"/>
          <w:sz w:val="24"/>
          <w:szCs w:val="24"/>
        </w:rPr>
        <w:t xml:space="preserve"> растворах хлорида кальция эта величина уменьшается с повышением минерализации, однако ниже чем в</w:t>
      </w:r>
      <w:r w:rsidR="00DF6BAB">
        <w:rPr>
          <w:rFonts w:ascii="Times New Roman" w:hAnsi="Times New Roman" w:cs="Times New Roman"/>
          <w:sz w:val="24"/>
          <w:szCs w:val="24"/>
        </w:rPr>
        <w:t>оде; 4) в</w:t>
      </w:r>
      <w:r w:rsidR="003673B2" w:rsidRPr="003673B2">
        <w:rPr>
          <w:rFonts w:ascii="Times New Roman" w:hAnsi="Times New Roman" w:cs="Times New Roman"/>
          <w:sz w:val="24"/>
          <w:szCs w:val="24"/>
        </w:rPr>
        <w:t xml:space="preserve"> морском песке степень переохлаждения в растворах хлоридно-кальциевого типа вод сущест</w:t>
      </w:r>
      <w:r w:rsidR="00DF6BAB">
        <w:rPr>
          <w:rFonts w:ascii="Times New Roman" w:hAnsi="Times New Roman" w:cs="Times New Roman"/>
          <w:sz w:val="24"/>
          <w:szCs w:val="24"/>
        </w:rPr>
        <w:t>венно ниже по сравнению с водой; в</w:t>
      </w:r>
      <w:r w:rsidR="003673B2" w:rsidRPr="003673B2">
        <w:rPr>
          <w:rFonts w:ascii="Times New Roman" w:hAnsi="Times New Roman" w:cs="Times New Roman"/>
          <w:sz w:val="24"/>
          <w:szCs w:val="24"/>
        </w:rPr>
        <w:t xml:space="preserve"> гидрокарбонатно-натриевых водах определенно</w:t>
      </w:r>
      <w:r w:rsidR="006F3B73">
        <w:rPr>
          <w:rFonts w:ascii="Times New Roman" w:hAnsi="Times New Roman" w:cs="Times New Roman"/>
          <w:sz w:val="24"/>
          <w:szCs w:val="24"/>
        </w:rPr>
        <w:t>й закономерности не наблюдается;</w:t>
      </w:r>
      <w:r w:rsidR="00066359">
        <w:rPr>
          <w:rFonts w:ascii="Times New Roman" w:hAnsi="Times New Roman" w:cs="Times New Roman"/>
          <w:sz w:val="24"/>
          <w:szCs w:val="24"/>
        </w:rPr>
        <w:t xml:space="preserve"> </w:t>
      </w:r>
      <w:r w:rsidR="00DF6BAB">
        <w:rPr>
          <w:rFonts w:ascii="Times New Roman" w:hAnsi="Times New Roman" w:cs="Times New Roman"/>
          <w:sz w:val="24"/>
          <w:szCs w:val="24"/>
        </w:rPr>
        <w:t xml:space="preserve">5) </w:t>
      </w:r>
      <w:r w:rsidR="006F3B73">
        <w:rPr>
          <w:rFonts w:ascii="Times New Roman" w:hAnsi="Times New Roman" w:cs="Times New Roman"/>
          <w:sz w:val="24"/>
          <w:szCs w:val="24"/>
        </w:rPr>
        <w:t>р</w:t>
      </w:r>
      <w:r w:rsidR="00DF6BAB" w:rsidRPr="00DF6BAB">
        <w:rPr>
          <w:rFonts w:ascii="Times New Roman" w:hAnsi="Times New Roman" w:cs="Times New Roman"/>
          <w:sz w:val="24"/>
          <w:szCs w:val="24"/>
        </w:rPr>
        <w:t>авновесные условия образования гидратов природного газа в поровом пространстве дисперсных пород</w:t>
      </w:r>
      <w:r w:rsidR="00DF6BAB">
        <w:rPr>
          <w:rFonts w:ascii="Times New Roman" w:hAnsi="Times New Roman" w:cs="Times New Roman"/>
          <w:sz w:val="24"/>
          <w:szCs w:val="24"/>
        </w:rPr>
        <w:t xml:space="preserve"> </w:t>
      </w:r>
      <w:r w:rsidR="00DF6BAB" w:rsidRPr="00DF6BAB">
        <w:rPr>
          <w:rFonts w:ascii="Times New Roman" w:hAnsi="Times New Roman" w:cs="Times New Roman"/>
          <w:sz w:val="24"/>
          <w:szCs w:val="24"/>
        </w:rPr>
        <w:t>по сравнению с системой «вода-газ» смещен</w:t>
      </w:r>
      <w:r w:rsidR="00DF6BAB">
        <w:rPr>
          <w:rFonts w:ascii="Times New Roman" w:hAnsi="Times New Roman" w:cs="Times New Roman"/>
          <w:sz w:val="24"/>
          <w:szCs w:val="24"/>
        </w:rPr>
        <w:t>ы</w:t>
      </w:r>
      <w:r w:rsidR="00DF6BAB" w:rsidRPr="00DF6BAB">
        <w:rPr>
          <w:rFonts w:ascii="Times New Roman" w:hAnsi="Times New Roman" w:cs="Times New Roman"/>
          <w:sz w:val="24"/>
          <w:szCs w:val="24"/>
        </w:rPr>
        <w:t xml:space="preserve"> в сторону более высоких давлений и низких температур</w:t>
      </w:r>
      <w:r w:rsidR="006F3B73">
        <w:rPr>
          <w:rFonts w:ascii="Times New Roman" w:hAnsi="Times New Roman" w:cs="Times New Roman"/>
          <w:sz w:val="24"/>
          <w:szCs w:val="24"/>
        </w:rPr>
        <w:t>;</w:t>
      </w:r>
      <w:r w:rsidR="00DF6BAB" w:rsidRPr="00DF6BAB">
        <w:rPr>
          <w:rFonts w:ascii="Times New Roman" w:hAnsi="Times New Roman" w:cs="Times New Roman"/>
          <w:sz w:val="24"/>
          <w:szCs w:val="24"/>
        </w:rPr>
        <w:t xml:space="preserve"> </w:t>
      </w:r>
      <w:r w:rsidR="00DF6BAB">
        <w:rPr>
          <w:rFonts w:ascii="Times New Roman" w:hAnsi="Times New Roman" w:cs="Times New Roman"/>
          <w:sz w:val="24"/>
          <w:szCs w:val="24"/>
        </w:rPr>
        <w:t xml:space="preserve">6) </w:t>
      </w:r>
      <w:r w:rsidR="006F3B73">
        <w:rPr>
          <w:rFonts w:ascii="Times New Roman" w:hAnsi="Times New Roman" w:cs="Times New Roman"/>
          <w:sz w:val="24"/>
          <w:szCs w:val="24"/>
        </w:rPr>
        <w:t>в</w:t>
      </w:r>
      <w:r w:rsidR="00DF6BAB" w:rsidRPr="00DF6BAB">
        <w:rPr>
          <w:rFonts w:ascii="Times New Roman" w:hAnsi="Times New Roman" w:cs="Times New Roman"/>
          <w:sz w:val="24"/>
          <w:szCs w:val="24"/>
        </w:rPr>
        <w:t xml:space="preserve"> песке с высокой дисперсностью </w:t>
      </w:r>
      <w:r w:rsidR="00DF6BAB">
        <w:rPr>
          <w:rFonts w:ascii="Times New Roman" w:hAnsi="Times New Roman" w:cs="Times New Roman"/>
          <w:sz w:val="24"/>
          <w:szCs w:val="24"/>
        </w:rPr>
        <w:t>з</w:t>
      </w:r>
      <w:r w:rsidR="00DF6BAB" w:rsidRPr="00DF6BAB">
        <w:rPr>
          <w:rFonts w:ascii="Times New Roman" w:hAnsi="Times New Roman" w:cs="Times New Roman"/>
          <w:sz w:val="24"/>
          <w:szCs w:val="24"/>
        </w:rPr>
        <w:t xml:space="preserve">афиксировано гидратонакопление при отрицательной температуре </w:t>
      </w:r>
      <w:r w:rsidR="00DF6BAB">
        <w:rPr>
          <w:rFonts w:ascii="Times New Roman" w:hAnsi="Times New Roman" w:cs="Times New Roman"/>
          <w:sz w:val="24"/>
          <w:szCs w:val="24"/>
        </w:rPr>
        <w:t>в</w:t>
      </w:r>
      <w:r w:rsidR="00DF6BAB" w:rsidRPr="00DF6BAB">
        <w:rPr>
          <w:rFonts w:ascii="Times New Roman" w:hAnsi="Times New Roman" w:cs="Times New Roman"/>
          <w:sz w:val="24"/>
          <w:szCs w:val="24"/>
        </w:rPr>
        <w:t xml:space="preserve"> 15% раствор</w:t>
      </w:r>
      <w:r w:rsidR="00DF6BAB">
        <w:rPr>
          <w:rFonts w:ascii="Times New Roman" w:hAnsi="Times New Roman" w:cs="Times New Roman"/>
          <w:sz w:val="24"/>
          <w:szCs w:val="24"/>
        </w:rPr>
        <w:t>е</w:t>
      </w:r>
      <w:r w:rsidR="00DF6BAB" w:rsidRPr="00DF6BAB">
        <w:rPr>
          <w:rFonts w:ascii="Times New Roman" w:hAnsi="Times New Roman" w:cs="Times New Roman"/>
          <w:sz w:val="24"/>
          <w:szCs w:val="24"/>
        </w:rPr>
        <w:t xml:space="preserve"> хлорида натрия</w:t>
      </w:r>
      <w:r w:rsidR="006F3B73">
        <w:rPr>
          <w:rFonts w:ascii="Times New Roman" w:hAnsi="Times New Roman" w:cs="Times New Roman"/>
          <w:sz w:val="24"/>
          <w:szCs w:val="24"/>
        </w:rPr>
        <w:t>.</w:t>
      </w:r>
    </w:p>
    <w:p w:rsidR="00066359" w:rsidRDefault="00066359" w:rsidP="00066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6F3B73" w:rsidRPr="006F3B73" w:rsidRDefault="00066359" w:rsidP="006F3B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F3B73" w:rsidRPr="006F3B73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Геология Сибирской платформы / Под ред. И.И. Краснова, М.Л. Лурье, В.Л. Масайтиса. – М.: Недра, 1966. – 447 с.</w:t>
      </w:r>
    </w:p>
    <w:p w:rsidR="006F3B73" w:rsidRDefault="006F3B73" w:rsidP="006F3B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F3B73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Гидрогеология СССР. Том XX. Якутская АССР. Якутское геологическое управление. Институт мерзлотоведения СО АН СССР. – М.: Изд-во "Недра", 1970. – 384 с.</w:t>
      </w:r>
    </w:p>
    <w:p w:rsidR="006F3B73" w:rsidRDefault="00CD4BEB" w:rsidP="00066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F3B73" w:rsidRPr="006F3B73">
        <w:rPr>
          <w:rFonts w:ascii="Times New Roman" w:eastAsia="Times New Roman" w:hAnsi="Times New Roman" w:cs="Times New Roman"/>
          <w:color w:val="000000"/>
          <w:sz w:val="24"/>
          <w:szCs w:val="24"/>
        </w:rPr>
        <w:t>Гройсман А.Г. Теплофизические свойства газовых гидратов. - Новосибирск: Наука, 1985. - 94 с.</w:t>
      </w:r>
    </w:p>
    <w:p w:rsidR="00F82685" w:rsidRDefault="00CD4BEB" w:rsidP="00CD4B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6F3B73" w:rsidRPr="006F3B73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Филиппов Д.Д., Шишкин А.С., Малышев А.В., Большев К.Н. Модернизация установки дифференциального термического анализа, разработанной для исследования равновесных условий гидратообразования // Наука и образование. - 2006. - No.1 (41). - С.41-44.</w:t>
      </w:r>
      <w:r w:rsidR="006F3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F8268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59"/>
    <w:rsid w:val="00066359"/>
    <w:rsid w:val="000B21C7"/>
    <w:rsid w:val="003673B2"/>
    <w:rsid w:val="006940AC"/>
    <w:rsid w:val="006F3B73"/>
    <w:rsid w:val="00744E49"/>
    <w:rsid w:val="007A5529"/>
    <w:rsid w:val="00814AF9"/>
    <w:rsid w:val="00862348"/>
    <w:rsid w:val="00CD4BEB"/>
    <w:rsid w:val="00DF6BAB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C1A5"/>
  <w15:chartTrackingRefBased/>
  <w15:docId w15:val="{4925469F-0BE3-4B2C-A778-41B66DF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0663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ustan1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Тимур Слепцов</cp:lastModifiedBy>
  <cp:revision>7</cp:revision>
  <dcterms:created xsi:type="dcterms:W3CDTF">2020-02-28T06:37:00Z</dcterms:created>
  <dcterms:modified xsi:type="dcterms:W3CDTF">2020-02-29T14:22:00Z</dcterms:modified>
</cp:coreProperties>
</file>